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DB" w:rsidRPr="00DC3CBA" w:rsidRDefault="00DC3CBA">
      <w:pPr>
        <w:rPr>
          <w:b/>
          <w:u w:val="single"/>
        </w:rPr>
      </w:pPr>
      <w:r w:rsidRPr="00DC3CBA">
        <w:rPr>
          <w:b/>
          <w:u w:val="single"/>
        </w:rPr>
        <w:t>In the Cardiff Employment Tribunal</w:t>
      </w:r>
    </w:p>
    <w:p w:rsidR="00DC3CBA" w:rsidRPr="00DC3CBA" w:rsidRDefault="00DC3CBA" w:rsidP="00DC3CBA">
      <w:pPr>
        <w:jc w:val="right"/>
        <w:rPr>
          <w:b/>
          <w:u w:val="single"/>
        </w:rPr>
      </w:pPr>
      <w:r w:rsidRPr="00DC3CBA">
        <w:rPr>
          <w:b/>
          <w:u w:val="single"/>
        </w:rPr>
        <w:t xml:space="preserve">CASE NUMBER </w:t>
      </w:r>
      <w:r w:rsidR="003225BC">
        <w:rPr>
          <w:b/>
          <w:u w:val="single"/>
        </w:rPr>
        <w:t>1234</w:t>
      </w:r>
      <w:r w:rsidR="005F6D91">
        <w:rPr>
          <w:b/>
          <w:u w:val="single"/>
        </w:rPr>
        <w:t>56</w:t>
      </w:r>
      <w:r w:rsidR="003225BC">
        <w:rPr>
          <w:b/>
          <w:u w:val="single"/>
        </w:rPr>
        <w:t>/2019</w:t>
      </w:r>
    </w:p>
    <w:p w:rsidR="00DC3CBA" w:rsidRPr="00DC3CBA" w:rsidRDefault="00DC3CBA" w:rsidP="00DC3CBA">
      <w:pPr>
        <w:jc w:val="right"/>
        <w:rPr>
          <w:b/>
          <w:u w:val="single"/>
        </w:rPr>
      </w:pPr>
    </w:p>
    <w:p w:rsidR="00DC3CBA" w:rsidRPr="00DC3CBA" w:rsidRDefault="00DC3CBA" w:rsidP="00DC3CBA">
      <w:pPr>
        <w:jc w:val="center"/>
        <w:rPr>
          <w:b/>
          <w:u w:val="single"/>
        </w:rPr>
      </w:pPr>
      <w:r w:rsidRPr="00DC3CBA">
        <w:rPr>
          <w:b/>
          <w:u w:val="single"/>
        </w:rPr>
        <w:t xml:space="preserve">MR </w:t>
      </w:r>
      <w:r w:rsidR="003225BC">
        <w:rPr>
          <w:b/>
          <w:u w:val="single"/>
        </w:rPr>
        <w:t>A</w:t>
      </w:r>
    </w:p>
    <w:p w:rsidR="00DC3CBA" w:rsidRPr="00DC3CBA" w:rsidRDefault="00DC3CBA" w:rsidP="00DC3CBA">
      <w:pPr>
        <w:jc w:val="right"/>
        <w:rPr>
          <w:b/>
          <w:u w:val="single"/>
        </w:rPr>
      </w:pPr>
      <w:r w:rsidRPr="00DC3CBA">
        <w:rPr>
          <w:b/>
          <w:u w:val="single"/>
        </w:rPr>
        <w:t>CLAIMANT</w:t>
      </w:r>
    </w:p>
    <w:p w:rsidR="00DC3CBA" w:rsidRPr="00DC3CBA" w:rsidRDefault="00DC3CBA" w:rsidP="00DC3CBA">
      <w:pPr>
        <w:jc w:val="center"/>
        <w:rPr>
          <w:b/>
          <w:u w:val="single"/>
        </w:rPr>
      </w:pPr>
      <w:r w:rsidRPr="00DC3CBA">
        <w:rPr>
          <w:b/>
          <w:u w:val="single"/>
        </w:rPr>
        <w:t>V</w:t>
      </w:r>
    </w:p>
    <w:p w:rsidR="00DC3CBA" w:rsidRPr="00DC3CBA" w:rsidRDefault="00DC3CBA" w:rsidP="00DC3CBA">
      <w:pPr>
        <w:jc w:val="center"/>
        <w:rPr>
          <w:b/>
          <w:u w:val="single"/>
        </w:rPr>
      </w:pPr>
    </w:p>
    <w:p w:rsidR="00DC3CBA" w:rsidRPr="00DC3CBA" w:rsidRDefault="003225BC" w:rsidP="00DC3CBA">
      <w:pPr>
        <w:jc w:val="center"/>
        <w:rPr>
          <w:b/>
          <w:u w:val="single"/>
        </w:rPr>
      </w:pPr>
      <w:r>
        <w:rPr>
          <w:b/>
          <w:u w:val="single"/>
        </w:rPr>
        <w:t>X Y Z</w:t>
      </w:r>
      <w:r w:rsidR="00DC3CBA" w:rsidRPr="00DC3CBA">
        <w:rPr>
          <w:b/>
          <w:u w:val="single"/>
        </w:rPr>
        <w:t xml:space="preserve"> PLC</w:t>
      </w:r>
    </w:p>
    <w:p w:rsidR="00DC3CBA" w:rsidRPr="00DC3CBA" w:rsidRDefault="00DC3CBA" w:rsidP="00DC3CBA">
      <w:pPr>
        <w:jc w:val="right"/>
        <w:rPr>
          <w:b/>
          <w:u w:val="single"/>
        </w:rPr>
      </w:pPr>
      <w:r w:rsidRPr="00DC3CBA">
        <w:rPr>
          <w:b/>
          <w:u w:val="single"/>
        </w:rPr>
        <w:t>RESPONDENT</w:t>
      </w:r>
    </w:p>
    <w:p w:rsidR="00DC3CBA" w:rsidRPr="00DC3CBA" w:rsidRDefault="00DC3CBA" w:rsidP="00DC3CBA">
      <w:pPr>
        <w:jc w:val="right"/>
        <w:rPr>
          <w:b/>
          <w:u w:val="single"/>
        </w:rPr>
      </w:pPr>
    </w:p>
    <w:p w:rsidR="00DC3CBA" w:rsidRPr="00DC3CBA" w:rsidRDefault="00DC3CBA" w:rsidP="00DC3CBA">
      <w:pPr>
        <w:jc w:val="center"/>
        <w:rPr>
          <w:b/>
          <w:u w:val="single"/>
        </w:rPr>
      </w:pPr>
      <w:r w:rsidRPr="00DC3CBA">
        <w:rPr>
          <w:b/>
          <w:u w:val="single"/>
        </w:rPr>
        <w:t>SCHEDULE OF LOSS</w:t>
      </w:r>
      <w:r w:rsidR="007A27C6">
        <w:rPr>
          <w:b/>
          <w:u w:val="single"/>
        </w:rPr>
        <w:t xml:space="preserve"> EXAMPLE</w:t>
      </w:r>
      <w:r w:rsidR="005026C8">
        <w:rPr>
          <w:b/>
          <w:u w:val="single"/>
        </w:rPr>
        <w:t xml:space="preserve"> [</w:t>
      </w:r>
      <w:r w:rsidR="005026C8" w:rsidRPr="005026C8">
        <w:rPr>
          <w:b/>
          <w:i/>
          <w:u w:val="single"/>
        </w:rPr>
        <w:t>NO PENSION LOSS</w:t>
      </w:r>
      <w:r w:rsidR="005026C8">
        <w:rPr>
          <w:b/>
          <w:u w:val="single"/>
        </w:rPr>
        <w:t>]</w:t>
      </w:r>
    </w:p>
    <w:p w:rsidR="00DC3CBA" w:rsidRDefault="00DC3CBA" w:rsidP="00DC3CBA">
      <w:pPr>
        <w:jc w:val="center"/>
      </w:pPr>
    </w:p>
    <w:p w:rsidR="00DC3CBA" w:rsidRDefault="007A27C6" w:rsidP="00DC3CBA">
      <w:r>
        <w:t>Date of Dismissal</w:t>
      </w:r>
      <w:r w:rsidR="00DC3CBA">
        <w:t>: 16/10/1</w:t>
      </w:r>
      <w:r w:rsidR="00F1278E">
        <w:t>8</w:t>
      </w:r>
    </w:p>
    <w:p w:rsidR="00CB0788" w:rsidRPr="00CB0788" w:rsidRDefault="00CB0788" w:rsidP="00DC3CBA">
      <w:r w:rsidRPr="00CB0788">
        <w:t>Start of Employment: 09/11/9</w:t>
      </w:r>
      <w:r w:rsidR="00F1278E">
        <w:t>1</w:t>
      </w:r>
    </w:p>
    <w:p w:rsidR="00CB0788" w:rsidRDefault="00CB0788" w:rsidP="00DC3CBA">
      <w:r w:rsidRPr="00CB0788">
        <w:t>Date of birth: 12/08/7</w:t>
      </w:r>
      <w:r w:rsidR="00F1278E">
        <w:t>7</w:t>
      </w:r>
    </w:p>
    <w:p w:rsidR="00CB0788" w:rsidRPr="00CB0788" w:rsidRDefault="00CB0788" w:rsidP="00DC3CBA">
      <w:r>
        <w:t>Age at date of dismissal: 41</w:t>
      </w:r>
    </w:p>
    <w:p w:rsidR="007A27C6" w:rsidRDefault="007A27C6" w:rsidP="00DC3CBA">
      <w:r>
        <w:t>Reason for dismissal: Capability</w:t>
      </w:r>
    </w:p>
    <w:p w:rsidR="00DC3CBA" w:rsidRDefault="00DC3CBA" w:rsidP="00DC3CBA">
      <w:r>
        <w:t>Number of weeks between d</w:t>
      </w:r>
      <w:r w:rsidR="00073530">
        <w:t>ismissal and tribunal hearing: 7</w:t>
      </w:r>
      <w:r>
        <w:t>5</w:t>
      </w:r>
    </w:p>
    <w:p w:rsidR="00DC3CBA" w:rsidRDefault="00DC3CBA" w:rsidP="00DC3CBA">
      <w:r>
        <w:t>Net monthly Pay: £1245</w:t>
      </w:r>
    </w:p>
    <w:p w:rsidR="005872C2" w:rsidRDefault="005872C2" w:rsidP="00DC3CBA">
      <w:r>
        <w:t>Gross weekly pay: £307.69</w:t>
      </w:r>
    </w:p>
    <w:p w:rsidR="00DC3CBA" w:rsidRDefault="00DC3CBA" w:rsidP="00DC3CBA">
      <w:r>
        <w:t>Net weekly pay: £287.30</w:t>
      </w:r>
    </w:p>
    <w:p w:rsidR="003225BC" w:rsidRDefault="003225BC" w:rsidP="00DC3CBA">
      <w:r>
        <w:t>Notice period: 4 weeks</w:t>
      </w:r>
    </w:p>
    <w:p w:rsidR="007A27C6" w:rsidRDefault="007A27C6" w:rsidP="00DC3CBA">
      <w:r>
        <w:t xml:space="preserve">Notice Pay: </w:t>
      </w:r>
      <w:r w:rsidR="001F65B7">
        <w:t>Not paid – summary di</w:t>
      </w:r>
      <w:r w:rsidR="00007485">
        <w:t>smissal</w:t>
      </w:r>
    </w:p>
    <w:p w:rsidR="00073530" w:rsidRDefault="00073530" w:rsidP="00DC3CBA"/>
    <w:p w:rsidR="00073530" w:rsidRDefault="00073530" w:rsidP="00DC3CBA">
      <w:r>
        <w:t>[</w:t>
      </w:r>
      <w:r w:rsidRPr="005026C8">
        <w:rPr>
          <w:i/>
        </w:rPr>
        <w:t xml:space="preserve">Information in </w:t>
      </w:r>
      <w:r w:rsidR="001623A0">
        <w:rPr>
          <w:i/>
        </w:rPr>
        <w:t xml:space="preserve">italics and </w:t>
      </w:r>
      <w:r w:rsidRPr="005026C8">
        <w:rPr>
          <w:i/>
        </w:rPr>
        <w:t>the square brackets is for guidance only and would not be added in a schedule of loss</w:t>
      </w:r>
      <w:r>
        <w:t>]</w:t>
      </w:r>
    </w:p>
    <w:p w:rsidR="00073530" w:rsidRDefault="00073530" w:rsidP="00DC3CBA">
      <w:r>
        <w:t>[</w:t>
      </w:r>
      <w:r w:rsidRPr="005026C8">
        <w:rPr>
          <w:i/>
        </w:rPr>
        <w:t xml:space="preserve">It is helpful to include the details for the Claimant’s age, wages (gross and net) etc. this information can then </w:t>
      </w:r>
      <w:proofErr w:type="gramStart"/>
      <w:r w:rsidRPr="005026C8">
        <w:rPr>
          <w:i/>
        </w:rPr>
        <w:t>been</w:t>
      </w:r>
      <w:proofErr w:type="gramEnd"/>
      <w:r w:rsidRPr="005026C8">
        <w:rPr>
          <w:i/>
        </w:rPr>
        <w:t xml:space="preserve"> referred to throughout the schedule </w:t>
      </w:r>
      <w:r w:rsidR="005026C8" w:rsidRPr="005026C8">
        <w:rPr>
          <w:i/>
        </w:rPr>
        <w:t>of loss</w:t>
      </w:r>
      <w:r w:rsidR="005026C8">
        <w:t>].</w:t>
      </w:r>
    </w:p>
    <w:p w:rsidR="00DC3CBA" w:rsidRDefault="00DC3CBA" w:rsidP="00AC247E">
      <w:pPr>
        <w:pBdr>
          <w:bottom w:val="single" w:sz="4" w:space="1" w:color="auto"/>
        </w:pBdr>
      </w:pPr>
    </w:p>
    <w:p w:rsidR="00CB0788" w:rsidRDefault="005F6D91" w:rsidP="00DC3CBA">
      <w:pPr>
        <w:pStyle w:val="ListParagraph"/>
        <w:numPr>
          <w:ilvl w:val="0"/>
          <w:numId w:val="1"/>
        </w:numPr>
        <w:rPr>
          <w:b/>
        </w:rPr>
      </w:pPr>
      <w:r w:rsidRPr="005F6D91">
        <w:rPr>
          <w:b/>
        </w:rPr>
        <w:t>BASIC AWARD</w:t>
      </w:r>
      <w:r>
        <w:rPr>
          <w:b/>
        </w:rPr>
        <w:t>:</w:t>
      </w:r>
    </w:p>
    <w:p w:rsidR="00CB0788" w:rsidRPr="002D0A21" w:rsidRDefault="00CB0788" w:rsidP="00CB0788">
      <w:pPr>
        <w:rPr>
          <w:i/>
        </w:rPr>
      </w:pPr>
      <w:r w:rsidRPr="002D0A21">
        <w:rPr>
          <w:i/>
        </w:rPr>
        <w:t>[</w:t>
      </w:r>
      <w:r w:rsidR="002D0A21" w:rsidRPr="002D0A21">
        <w:rPr>
          <w:i/>
        </w:rPr>
        <w:t>Under s.119 ERA 1996:</w:t>
      </w:r>
    </w:p>
    <w:p w:rsidR="002D0A21" w:rsidRPr="002D0A21" w:rsidRDefault="002D0A21" w:rsidP="002D0A21">
      <w:pPr>
        <w:pStyle w:val="ListParagraph"/>
        <w:numPr>
          <w:ilvl w:val="0"/>
          <w:numId w:val="4"/>
        </w:numPr>
        <w:rPr>
          <w:i/>
        </w:rPr>
      </w:pPr>
      <w:r w:rsidRPr="002D0A21">
        <w:rPr>
          <w:i/>
        </w:rPr>
        <w:t>The amount of the basic award is calculated by:</w:t>
      </w:r>
    </w:p>
    <w:p w:rsidR="002D0A21" w:rsidRPr="002D0A21" w:rsidRDefault="002D0A21" w:rsidP="002D0A21">
      <w:pPr>
        <w:pStyle w:val="ListParagraph"/>
        <w:numPr>
          <w:ilvl w:val="1"/>
          <w:numId w:val="4"/>
        </w:numPr>
        <w:rPr>
          <w:i/>
        </w:rPr>
      </w:pPr>
      <w:r w:rsidRPr="002D0A21">
        <w:rPr>
          <w:i/>
        </w:rPr>
        <w:t>Determining the period, ending with the effective date of termination, during which the employee has been continuously employed;</w:t>
      </w:r>
    </w:p>
    <w:p w:rsidR="002D0A21" w:rsidRPr="002D0A21" w:rsidRDefault="002D0A21" w:rsidP="002D0A21">
      <w:pPr>
        <w:pStyle w:val="ListParagraph"/>
        <w:numPr>
          <w:ilvl w:val="1"/>
          <w:numId w:val="4"/>
        </w:numPr>
        <w:rPr>
          <w:i/>
        </w:rPr>
      </w:pPr>
      <w:r w:rsidRPr="002D0A21">
        <w:rPr>
          <w:i/>
        </w:rPr>
        <w:t>Reckoning backwards from the end of that period the number of years of employment falling within that period; and</w:t>
      </w:r>
    </w:p>
    <w:p w:rsidR="002D0A21" w:rsidRPr="002D0A21" w:rsidRDefault="002D0A21" w:rsidP="002D0A21">
      <w:pPr>
        <w:pStyle w:val="ListParagraph"/>
        <w:numPr>
          <w:ilvl w:val="1"/>
          <w:numId w:val="4"/>
        </w:numPr>
        <w:rPr>
          <w:i/>
        </w:rPr>
      </w:pPr>
      <w:r w:rsidRPr="002D0A21">
        <w:rPr>
          <w:i/>
        </w:rPr>
        <w:t>Allowing the appropriate amount for each of those years of employment.</w:t>
      </w:r>
    </w:p>
    <w:p w:rsidR="002D0A21" w:rsidRPr="002D0A21" w:rsidRDefault="002D0A21" w:rsidP="002D0A21">
      <w:pPr>
        <w:pStyle w:val="ListParagraph"/>
        <w:numPr>
          <w:ilvl w:val="0"/>
          <w:numId w:val="4"/>
        </w:numPr>
        <w:rPr>
          <w:i/>
        </w:rPr>
      </w:pPr>
      <w:r w:rsidRPr="002D0A21">
        <w:rPr>
          <w:i/>
        </w:rPr>
        <w:t>In subsection (1)(c) “the appropriate amount” means”</w:t>
      </w:r>
    </w:p>
    <w:p w:rsidR="002D0A21" w:rsidRPr="002D0A21" w:rsidRDefault="002D0A21" w:rsidP="002D0A21">
      <w:pPr>
        <w:pStyle w:val="ListParagraph"/>
        <w:numPr>
          <w:ilvl w:val="1"/>
          <w:numId w:val="4"/>
        </w:numPr>
        <w:rPr>
          <w:i/>
        </w:rPr>
      </w:pPr>
      <w:r w:rsidRPr="002D0A21">
        <w:rPr>
          <w:i/>
        </w:rPr>
        <w:t>One and a half weeks’ pay for a year of employment in which the employee was not below the age of forty-one;</w:t>
      </w:r>
    </w:p>
    <w:p w:rsidR="002D0A21" w:rsidRPr="002D0A21" w:rsidRDefault="002D0A21" w:rsidP="002D0A21">
      <w:pPr>
        <w:pStyle w:val="ListParagraph"/>
        <w:numPr>
          <w:ilvl w:val="1"/>
          <w:numId w:val="4"/>
        </w:numPr>
        <w:rPr>
          <w:i/>
        </w:rPr>
      </w:pPr>
      <w:r w:rsidRPr="002D0A21">
        <w:rPr>
          <w:i/>
        </w:rPr>
        <w:t>One week’s pay for a year of employment (not within paragraph (a)) in which he was not below the age of twenty-two; and</w:t>
      </w:r>
    </w:p>
    <w:p w:rsidR="002D0A21" w:rsidRPr="002D0A21" w:rsidRDefault="002D0A21" w:rsidP="002D0A21">
      <w:pPr>
        <w:pStyle w:val="ListParagraph"/>
        <w:numPr>
          <w:ilvl w:val="1"/>
          <w:numId w:val="4"/>
        </w:numPr>
        <w:rPr>
          <w:i/>
        </w:rPr>
      </w:pPr>
      <w:r w:rsidRPr="002D0A21">
        <w:rPr>
          <w:i/>
        </w:rPr>
        <w:t>Half a week’s pay for a year of employment not within paragraph (a) or (b).</w:t>
      </w:r>
    </w:p>
    <w:p w:rsidR="002D0A21" w:rsidRPr="002D0A21" w:rsidRDefault="002D0A21" w:rsidP="002D0A21">
      <w:pPr>
        <w:pStyle w:val="ListParagraph"/>
        <w:numPr>
          <w:ilvl w:val="0"/>
          <w:numId w:val="4"/>
        </w:numPr>
        <w:rPr>
          <w:i/>
        </w:rPr>
      </w:pPr>
      <w:r w:rsidRPr="002D0A21">
        <w:rPr>
          <w:i/>
        </w:rPr>
        <w:t>Where twenty years of employment have been reckoned under subsection (1), no account shall be taken under that subsection of any year of employment earlier than those twenty years.]</w:t>
      </w:r>
    </w:p>
    <w:p w:rsidR="002D0A21" w:rsidRPr="002D0A21" w:rsidRDefault="002D0A21" w:rsidP="00DC3CBA">
      <w:r w:rsidRPr="002D0A21">
        <w:t xml:space="preserve">Total </w:t>
      </w:r>
      <w:proofErr w:type="spellStart"/>
      <w:r w:rsidRPr="002D0A21">
        <w:t>years service</w:t>
      </w:r>
      <w:proofErr w:type="spellEnd"/>
      <w:r w:rsidRPr="002D0A21">
        <w:t xml:space="preserve"> =</w:t>
      </w:r>
      <w:r w:rsidR="001F65B7">
        <w:t xml:space="preserve"> </w:t>
      </w:r>
      <w:r w:rsidR="00DD261F">
        <w:t>26</w:t>
      </w:r>
    </w:p>
    <w:p w:rsidR="002D0A21" w:rsidRDefault="002D0A21" w:rsidP="00DC3CBA">
      <w:r w:rsidRPr="002D0A21">
        <w:t xml:space="preserve">Years at </w:t>
      </w:r>
      <w:r>
        <w:t>x1.5 =</w:t>
      </w:r>
      <w:r w:rsidR="0099029B">
        <w:t xml:space="preserve"> </w:t>
      </w:r>
      <w:r w:rsidR="00241B2F">
        <w:t>0</w:t>
      </w:r>
    </w:p>
    <w:p w:rsidR="002D0A21" w:rsidRDefault="002D0A21" w:rsidP="00DC3CBA">
      <w:r>
        <w:t>Years at x1 =</w:t>
      </w:r>
      <w:r w:rsidR="001F65B7">
        <w:t xml:space="preserve"> </w:t>
      </w:r>
      <w:r w:rsidR="00241B2F">
        <w:t>19</w:t>
      </w:r>
    </w:p>
    <w:p w:rsidR="002D0A21" w:rsidRDefault="002D0A21" w:rsidP="00DC3CBA">
      <w:r>
        <w:t>Years at x0.5 =</w:t>
      </w:r>
      <w:r w:rsidR="00241B2F">
        <w:t xml:space="preserve"> 1</w:t>
      </w:r>
    </w:p>
    <w:p w:rsidR="002D0A21" w:rsidRDefault="00DD261F" w:rsidP="00DC3CBA">
      <w:r>
        <w:t>Gross</w:t>
      </w:r>
      <w:r w:rsidR="00F1278E">
        <w:t xml:space="preserve"> weekly pay = </w:t>
      </w:r>
    </w:p>
    <w:p w:rsidR="00F1278E" w:rsidRPr="002D0A21" w:rsidRDefault="00F1278E" w:rsidP="00DC3CBA">
      <w:r>
        <w:t xml:space="preserve">Basic award = </w:t>
      </w:r>
    </w:p>
    <w:p w:rsidR="005F6D91" w:rsidRDefault="005F6D91" w:rsidP="00AC247E">
      <w:pPr>
        <w:pBdr>
          <w:bottom w:val="single" w:sz="4" w:space="1" w:color="auto"/>
        </w:pBdr>
      </w:pPr>
    </w:p>
    <w:p w:rsidR="005F6D91" w:rsidRPr="005F6D91" w:rsidRDefault="005F6D91" w:rsidP="005F6D91">
      <w:pPr>
        <w:pStyle w:val="ListParagraph"/>
        <w:numPr>
          <w:ilvl w:val="0"/>
          <w:numId w:val="1"/>
        </w:numPr>
        <w:rPr>
          <w:b/>
        </w:rPr>
      </w:pPr>
      <w:r w:rsidRPr="005F6D91">
        <w:rPr>
          <w:b/>
        </w:rPr>
        <w:t>COMPENSATORY LOSSES</w:t>
      </w:r>
    </w:p>
    <w:p w:rsidR="005F6D91" w:rsidRDefault="005F6D91" w:rsidP="00DC3CBA">
      <w:pPr>
        <w:rPr>
          <w:b/>
        </w:rPr>
      </w:pPr>
    </w:p>
    <w:p w:rsidR="00DC3CBA" w:rsidRPr="00AC247E" w:rsidRDefault="005F6D91" w:rsidP="00DC3CBA">
      <w:pPr>
        <w:rPr>
          <w:b/>
        </w:rPr>
      </w:pPr>
      <w:r>
        <w:rPr>
          <w:b/>
        </w:rPr>
        <w:t xml:space="preserve">2.1 </w:t>
      </w:r>
      <w:r w:rsidR="00DC3CBA" w:rsidRPr="00AC247E">
        <w:rPr>
          <w:b/>
        </w:rPr>
        <w:t xml:space="preserve">Loss of statutory rights: </w:t>
      </w:r>
    </w:p>
    <w:p w:rsidR="00DC3CBA" w:rsidRPr="00F1278E" w:rsidRDefault="005F6D91" w:rsidP="00AC247E">
      <w:pPr>
        <w:pBdr>
          <w:bottom w:val="single" w:sz="4" w:space="1" w:color="auto"/>
        </w:pBdr>
        <w:rPr>
          <w:b/>
        </w:rPr>
      </w:pPr>
      <w:r w:rsidRPr="00F1278E">
        <w:rPr>
          <w:b/>
        </w:rPr>
        <w:t>£500</w:t>
      </w:r>
    </w:p>
    <w:p w:rsidR="00AC247E" w:rsidRDefault="00073530" w:rsidP="00AC247E">
      <w:pPr>
        <w:pBdr>
          <w:bottom w:val="single" w:sz="4" w:space="1" w:color="auto"/>
        </w:pBdr>
      </w:pPr>
      <w:r>
        <w:t>[</w:t>
      </w:r>
      <w:r w:rsidRPr="005026C8">
        <w:rPr>
          <w:i/>
        </w:rPr>
        <w:t>A</w:t>
      </w:r>
      <w:r w:rsidR="005F6D91" w:rsidRPr="005026C8">
        <w:rPr>
          <w:i/>
        </w:rPr>
        <w:t xml:space="preserve"> nominal amount to reflect Mr A’s inability to claim unfair dismissal or redundancy pay in a n</w:t>
      </w:r>
      <w:r w:rsidRPr="005026C8">
        <w:rPr>
          <w:i/>
        </w:rPr>
        <w:t>e</w:t>
      </w:r>
      <w:r w:rsidR="005F6D91" w:rsidRPr="005026C8">
        <w:rPr>
          <w:i/>
        </w:rPr>
        <w:t>w employment for 2 yea</w:t>
      </w:r>
      <w:r w:rsidRPr="005026C8">
        <w:rPr>
          <w:i/>
        </w:rPr>
        <w:t>rs as a result of the dismissal</w:t>
      </w:r>
      <w:r>
        <w:t>.]</w:t>
      </w:r>
    </w:p>
    <w:p w:rsidR="00F1278E" w:rsidRDefault="00F1278E" w:rsidP="00AC247E">
      <w:pPr>
        <w:pBdr>
          <w:bottom w:val="single" w:sz="4" w:space="1" w:color="auto"/>
        </w:pBdr>
      </w:pPr>
    </w:p>
    <w:p w:rsidR="0079581D" w:rsidRDefault="0079581D" w:rsidP="00AC247E">
      <w:pPr>
        <w:pBdr>
          <w:bottom w:val="single" w:sz="4" w:space="1" w:color="auto"/>
        </w:pBdr>
      </w:pPr>
    </w:p>
    <w:p w:rsidR="00DC3CBA" w:rsidRDefault="00DC3CBA" w:rsidP="00DC3CBA"/>
    <w:p w:rsidR="00DC3CBA" w:rsidRPr="00AC247E" w:rsidRDefault="001623A0" w:rsidP="00DC3CBA">
      <w:pPr>
        <w:rPr>
          <w:b/>
        </w:rPr>
      </w:pPr>
      <w:r>
        <w:rPr>
          <w:b/>
        </w:rPr>
        <w:t>2.2</w:t>
      </w:r>
      <w:r w:rsidR="005F6D91">
        <w:rPr>
          <w:b/>
        </w:rPr>
        <w:t xml:space="preserve"> </w:t>
      </w:r>
      <w:r w:rsidR="00DC3CBA" w:rsidRPr="00AC247E">
        <w:rPr>
          <w:b/>
        </w:rPr>
        <w:t xml:space="preserve">Loss of income to date of trial: </w:t>
      </w:r>
    </w:p>
    <w:p w:rsidR="00DC3CBA" w:rsidRDefault="00215073" w:rsidP="00DC3CBA">
      <w:r>
        <w:t>7</w:t>
      </w:r>
      <w:r w:rsidR="00DC3CBA">
        <w:t>5 weeks x 287.30 = £</w:t>
      </w:r>
      <w:r>
        <w:t>21,547.50</w:t>
      </w:r>
    </w:p>
    <w:p w:rsidR="00DC3CBA" w:rsidRDefault="00DC3CBA" w:rsidP="00DC3CBA"/>
    <w:p w:rsidR="00DC3CBA" w:rsidRDefault="00DC3CBA" w:rsidP="00DC3CBA">
      <w:r>
        <w:t>Minus</w:t>
      </w:r>
      <w:r w:rsidR="005F6D91">
        <w:t xml:space="preserve"> Income</w:t>
      </w:r>
    </w:p>
    <w:p w:rsidR="00DC3CBA" w:rsidRPr="005E34C8" w:rsidRDefault="005872C2" w:rsidP="00DC3CBA">
      <w:pPr>
        <w:rPr>
          <w:i/>
        </w:rPr>
      </w:pPr>
      <w:r>
        <w:rPr>
          <w:i/>
        </w:rPr>
        <w:t xml:space="preserve">[e.g. </w:t>
      </w:r>
      <w:r w:rsidR="005F6D91" w:rsidRPr="005872C2">
        <w:rPr>
          <w:i/>
        </w:rPr>
        <w:t>Notice pay:</w:t>
      </w:r>
      <w:r w:rsidR="00DC3CBA" w:rsidRPr="005872C2">
        <w:rPr>
          <w:i/>
        </w:rPr>
        <w:t xml:space="preserve"> 4</w:t>
      </w:r>
      <w:r w:rsidR="00073530" w:rsidRPr="005872C2">
        <w:rPr>
          <w:i/>
        </w:rPr>
        <w:t xml:space="preserve"> weeks</w:t>
      </w:r>
      <w:r w:rsidR="00DC3CBA" w:rsidRPr="005872C2">
        <w:rPr>
          <w:i/>
        </w:rPr>
        <w:t xml:space="preserve"> x 287.30 = £1,149.20</w:t>
      </w:r>
      <w:r>
        <w:rPr>
          <w:i/>
        </w:rPr>
        <w:t>]</w:t>
      </w:r>
    </w:p>
    <w:p w:rsidR="00AC247E" w:rsidRPr="005872C2" w:rsidRDefault="00AC247E" w:rsidP="00DC3CBA">
      <w:pPr>
        <w:rPr>
          <w:b/>
        </w:rPr>
      </w:pPr>
      <w:r w:rsidRPr="005872C2">
        <w:rPr>
          <w:b/>
        </w:rPr>
        <w:t>= £</w:t>
      </w:r>
      <w:r w:rsidR="005872C2" w:rsidRPr="005872C2">
        <w:rPr>
          <w:b/>
        </w:rPr>
        <w:t>21,547.50</w:t>
      </w:r>
    </w:p>
    <w:p w:rsidR="00AC247E" w:rsidRDefault="00AC247E" w:rsidP="00DC3CBA"/>
    <w:p w:rsidR="00AC247E" w:rsidRPr="00AC247E" w:rsidRDefault="003225BC" w:rsidP="00DC3CBA">
      <w:pPr>
        <w:rPr>
          <w:u w:val="single"/>
        </w:rPr>
      </w:pPr>
      <w:r>
        <w:rPr>
          <w:u w:val="single"/>
        </w:rPr>
        <w:t xml:space="preserve">Minus </w:t>
      </w:r>
      <w:r w:rsidR="00AC247E" w:rsidRPr="00AC247E">
        <w:rPr>
          <w:u w:val="single"/>
        </w:rPr>
        <w:t>ESA to be repaid to the DWP</w:t>
      </w:r>
    </w:p>
    <w:p w:rsidR="00DC3CBA" w:rsidRDefault="00DC3CBA" w:rsidP="00DC3CBA">
      <w:r>
        <w:t>The Claimant as been in receipt of ESA since his dismissal. This has been paid at a rate of:</w:t>
      </w:r>
    </w:p>
    <w:p w:rsidR="00FC5392" w:rsidRDefault="00FC5392" w:rsidP="00FC5392">
      <w:r>
        <w:t>£57.90 per week from the 3/10/18 to the 09/01/19</w:t>
      </w:r>
      <w:r w:rsidRPr="00AC247E">
        <w:t xml:space="preserve"> (</w:t>
      </w:r>
      <w:r>
        <w:t>14</w:t>
      </w:r>
      <w:r w:rsidRPr="00AC247E">
        <w:t xml:space="preserve"> weeks</w:t>
      </w:r>
      <w:r>
        <w:t>)</w:t>
      </w:r>
      <w:r w:rsidRPr="00AC247E">
        <w:t xml:space="preserve"> = £</w:t>
      </w:r>
      <w:r>
        <w:t xml:space="preserve">810.60 </w:t>
      </w:r>
    </w:p>
    <w:p w:rsidR="00FC5392" w:rsidRPr="00AC247E" w:rsidRDefault="00FC5392" w:rsidP="00FC5392">
      <w:r>
        <w:t>And thereafter:</w:t>
      </w:r>
    </w:p>
    <w:p w:rsidR="00FC5392" w:rsidRDefault="00FC5392" w:rsidP="00FC5392">
      <w:r w:rsidRPr="00DC3CBA">
        <w:t>£</w:t>
      </w:r>
      <w:r>
        <w:t>125.05 per week until the 10/04/</w:t>
      </w:r>
      <w:proofErr w:type="gramStart"/>
      <w:r>
        <w:t>19  (</w:t>
      </w:r>
      <w:proofErr w:type="gramEnd"/>
      <w:r>
        <w:t>13 weeks)= £1625.65</w:t>
      </w:r>
    </w:p>
    <w:p w:rsidR="00FC5392" w:rsidRDefault="00FC5392" w:rsidP="00FC5392">
      <w:r>
        <w:t>And thereafter</w:t>
      </w:r>
    </w:p>
    <w:p w:rsidR="00FC5392" w:rsidRDefault="00FC5392" w:rsidP="00FC5392">
      <w:r>
        <w:t>£125.55 per week x 48 weeks = £6026.40</w:t>
      </w:r>
    </w:p>
    <w:p w:rsidR="00FC5392" w:rsidRDefault="00FC5392" w:rsidP="00FC5392">
      <w:r>
        <w:t xml:space="preserve">Total paid in ESA = </w:t>
      </w:r>
      <w:r w:rsidR="005E34C8">
        <w:t xml:space="preserve">- </w:t>
      </w:r>
      <w:r w:rsidRPr="005E34C8">
        <w:rPr>
          <w:b/>
        </w:rPr>
        <w:t>£8,462.65</w:t>
      </w:r>
    </w:p>
    <w:p w:rsidR="007A27C6" w:rsidRDefault="007A27C6" w:rsidP="00DC3CBA"/>
    <w:p w:rsidR="0079581D" w:rsidRDefault="005F6D91" w:rsidP="005E34C8">
      <w:r>
        <w:t xml:space="preserve">Mr A’s </w:t>
      </w:r>
      <w:r w:rsidR="007A27C6">
        <w:t xml:space="preserve">Total past loss = </w:t>
      </w:r>
      <w:r>
        <w:t>£11,935.65 (with an additional £8,462.65 for the Respondent to repay to the DWP for ESA claimed)</w:t>
      </w:r>
      <w:r w:rsidR="005E34C8">
        <w:t>.</w:t>
      </w:r>
    </w:p>
    <w:p w:rsidR="00073530" w:rsidRDefault="00073530" w:rsidP="00AC247E">
      <w:pPr>
        <w:pBdr>
          <w:bottom w:val="single" w:sz="4" w:space="1" w:color="auto"/>
        </w:pBdr>
      </w:pPr>
    </w:p>
    <w:p w:rsidR="00DC3CBA" w:rsidRDefault="00DC3CBA" w:rsidP="00DC3CBA"/>
    <w:p w:rsidR="00AC247E" w:rsidRPr="00AC247E" w:rsidRDefault="005F6D91" w:rsidP="00DC3CBA">
      <w:pPr>
        <w:rPr>
          <w:b/>
        </w:rPr>
      </w:pPr>
      <w:r>
        <w:rPr>
          <w:b/>
        </w:rPr>
        <w:t xml:space="preserve">2.3 </w:t>
      </w:r>
      <w:r w:rsidR="00AC247E" w:rsidRPr="00AC247E">
        <w:rPr>
          <w:b/>
        </w:rPr>
        <w:t>Future Losses</w:t>
      </w:r>
      <w:r w:rsidR="00AC247E">
        <w:rPr>
          <w:b/>
        </w:rPr>
        <w:t>:</w:t>
      </w:r>
    </w:p>
    <w:p w:rsidR="005026C8" w:rsidRDefault="005026C8" w:rsidP="00DC3CBA">
      <w:r>
        <w:t>The Claimant is now fit to work and no longer receiving ESA.</w:t>
      </w:r>
    </w:p>
    <w:p w:rsidR="00AC247E" w:rsidRDefault="00AC247E" w:rsidP="00DC3CBA">
      <w:r>
        <w:t xml:space="preserve">The Claimant considers that it will take around </w:t>
      </w:r>
      <w:r w:rsidR="005F6D91">
        <w:t>26 weeks</w:t>
      </w:r>
      <w:r>
        <w:t xml:space="preserve"> for him to find work after the hearing. The hope is that having the hearing completed, this will relieve the stress and pressure on the Claimant and he will begin to feel better. Thereafter it will take time for him to find work. </w:t>
      </w:r>
    </w:p>
    <w:p w:rsidR="00AC247E" w:rsidRDefault="00AC247E" w:rsidP="00DC3CBA"/>
    <w:p w:rsidR="00AC247E" w:rsidRDefault="00262F2C" w:rsidP="00DC3CBA">
      <w:r>
        <w:t>26</w:t>
      </w:r>
      <w:r w:rsidR="005F6D91">
        <w:t xml:space="preserve"> weeks</w:t>
      </w:r>
      <w:r>
        <w:t xml:space="preserve"> x £287.30 = </w:t>
      </w:r>
      <w:r w:rsidRPr="005E34C8">
        <w:rPr>
          <w:b/>
        </w:rPr>
        <w:t>£7,469.80</w:t>
      </w:r>
    </w:p>
    <w:p w:rsidR="005026C8" w:rsidRDefault="005026C8" w:rsidP="00262F2C">
      <w:pPr>
        <w:pBdr>
          <w:bottom w:val="single" w:sz="4" w:space="1" w:color="auto"/>
        </w:pBdr>
      </w:pPr>
    </w:p>
    <w:p w:rsidR="00262F2C" w:rsidRDefault="00262F2C" w:rsidP="00262F2C"/>
    <w:p w:rsidR="00262F2C" w:rsidRDefault="005F6D91" w:rsidP="005F6D91">
      <w:pPr>
        <w:pStyle w:val="ListParagraph"/>
        <w:numPr>
          <w:ilvl w:val="0"/>
          <w:numId w:val="1"/>
        </w:numPr>
        <w:rPr>
          <w:b/>
        </w:rPr>
      </w:pPr>
      <w:r>
        <w:rPr>
          <w:b/>
        </w:rPr>
        <w:t>COMPENSATION FOR DISCRIMINATION</w:t>
      </w:r>
    </w:p>
    <w:p w:rsidR="005F6D91" w:rsidRPr="005F6D91" w:rsidRDefault="005F6D91" w:rsidP="005F6D91">
      <w:pPr>
        <w:pStyle w:val="ListParagraph"/>
        <w:rPr>
          <w:b/>
        </w:rPr>
      </w:pPr>
      <w:r>
        <w:rPr>
          <w:b/>
        </w:rPr>
        <w:t>INJURY TO FEELINGS</w:t>
      </w:r>
    </w:p>
    <w:p w:rsidR="00262F2C" w:rsidRDefault="00262F2C" w:rsidP="00262F2C">
      <w:r>
        <w:t>The Claimant contends that he will fall into the Middle Vento Band:</w:t>
      </w:r>
    </w:p>
    <w:p w:rsidR="00262F2C" w:rsidRDefault="00262F2C" w:rsidP="00262F2C">
      <w:r>
        <w:t>£6600-£19800</w:t>
      </w:r>
    </w:p>
    <w:p w:rsidR="00262F2C" w:rsidRDefault="00262F2C" w:rsidP="00262F2C">
      <w:pPr>
        <w:rPr>
          <w:b/>
        </w:rPr>
      </w:pPr>
      <w:r w:rsidRPr="00262F2C">
        <w:rPr>
          <w:b/>
        </w:rPr>
        <w:t xml:space="preserve">£15,000 </w:t>
      </w:r>
      <w:r w:rsidRPr="005C6787">
        <w:t>plus interest</w:t>
      </w:r>
    </w:p>
    <w:p w:rsidR="00AD7834" w:rsidRDefault="005C6787" w:rsidP="00262F2C">
      <w:pPr>
        <w:rPr>
          <w:b/>
        </w:rPr>
      </w:pPr>
      <w:r>
        <w:rPr>
          <w:b/>
        </w:rPr>
        <w:t xml:space="preserve">Interest </w:t>
      </w:r>
    </w:p>
    <w:p w:rsidR="005C6787" w:rsidRDefault="005C6787" w:rsidP="00262F2C">
      <w:pPr>
        <w:rPr>
          <w:b/>
        </w:rPr>
      </w:pPr>
      <w:r w:rsidRPr="00AD7834">
        <w:t xml:space="preserve">£15,000 x </w:t>
      </w:r>
      <w:r w:rsidR="005E34C8">
        <w:t>2</w:t>
      </w:r>
      <w:r w:rsidRPr="00AD7834">
        <w:t>% = £1,200/365 days = £3.28 per day x 525 days =</w:t>
      </w:r>
      <w:r>
        <w:rPr>
          <w:b/>
        </w:rPr>
        <w:t xml:space="preserve"> £</w:t>
      </w:r>
      <w:r w:rsidR="00AD7834">
        <w:rPr>
          <w:b/>
        </w:rPr>
        <w:t>1,726.02</w:t>
      </w:r>
    </w:p>
    <w:p w:rsidR="00073530" w:rsidRPr="005026C8" w:rsidRDefault="005E34C8" w:rsidP="00262F2C">
      <w:pPr>
        <w:pBdr>
          <w:bottom w:val="single" w:sz="4" w:space="1" w:color="auto"/>
        </w:pBdr>
        <w:rPr>
          <w:i/>
        </w:rPr>
      </w:pPr>
      <w:r w:rsidRPr="005026C8">
        <w:rPr>
          <w:i/>
        </w:rPr>
        <w:t xml:space="preserve"> </w:t>
      </w:r>
      <w:r w:rsidR="00073530" w:rsidRPr="005026C8">
        <w:rPr>
          <w:i/>
        </w:rPr>
        <w:t>[Vento Bands</w:t>
      </w:r>
    </w:p>
    <w:p w:rsidR="00073530" w:rsidRPr="005026C8" w:rsidRDefault="00073530" w:rsidP="00073530">
      <w:pPr>
        <w:pBdr>
          <w:bottom w:val="single" w:sz="4" w:space="1" w:color="auto"/>
        </w:pBdr>
        <w:rPr>
          <w:i/>
        </w:rPr>
      </w:pPr>
      <w:r w:rsidRPr="005026C8">
        <w:rPr>
          <w:i/>
        </w:rPr>
        <w:t>In the leading case of Vento v Chief Constable of West Yorkshire Police (No 2) [2003] IRLR 102, the Court of Appeal set clear guidelines for the amount of compensation to be given for injured feelings and set out three bands of potential awards:</w:t>
      </w:r>
    </w:p>
    <w:p w:rsidR="00073530" w:rsidRPr="005026C8" w:rsidRDefault="00073530" w:rsidP="00073530">
      <w:pPr>
        <w:pBdr>
          <w:bottom w:val="single" w:sz="4" w:space="1" w:color="auto"/>
        </w:pBdr>
        <w:rPr>
          <w:i/>
        </w:rPr>
      </w:pPr>
      <w:r w:rsidRPr="005026C8">
        <w:rPr>
          <w:i/>
        </w:rPr>
        <w:t>•The lower band: "appropriate for less serious cases, such as where the act of discrimination is an isolated or one-off occurrence".</w:t>
      </w:r>
    </w:p>
    <w:p w:rsidR="00073530" w:rsidRPr="005026C8" w:rsidRDefault="00073530" w:rsidP="00073530">
      <w:pPr>
        <w:pBdr>
          <w:bottom w:val="single" w:sz="4" w:space="1" w:color="auto"/>
        </w:pBdr>
        <w:rPr>
          <w:i/>
        </w:rPr>
      </w:pPr>
      <w:r w:rsidRPr="005026C8">
        <w:rPr>
          <w:i/>
        </w:rPr>
        <w:t>•The middle band: "serious cases, which do not merit an award in the highest band".</w:t>
      </w:r>
    </w:p>
    <w:p w:rsidR="00073530" w:rsidRPr="005026C8" w:rsidRDefault="00073530" w:rsidP="00073530">
      <w:pPr>
        <w:pBdr>
          <w:bottom w:val="single" w:sz="4" w:space="1" w:color="auto"/>
        </w:pBdr>
        <w:rPr>
          <w:i/>
        </w:rPr>
      </w:pPr>
      <w:r w:rsidRPr="005026C8">
        <w:rPr>
          <w:i/>
        </w:rPr>
        <w:t>•The top band: "the most serious cases, such as where there has been a lengthy campaign of discriminatory harassment on the ground of sex or race". Only in "the most exceptional case" should an award for injury to feelings exceed the top of this band.</w:t>
      </w:r>
    </w:p>
    <w:p w:rsidR="00073530" w:rsidRPr="005026C8" w:rsidRDefault="00073530" w:rsidP="00073530">
      <w:pPr>
        <w:pBdr>
          <w:bottom w:val="single" w:sz="4" w:space="1" w:color="auto"/>
        </w:pBdr>
        <w:rPr>
          <w:i/>
        </w:rPr>
      </w:pPr>
    </w:p>
    <w:p w:rsidR="00073530" w:rsidRPr="005026C8" w:rsidRDefault="00073530" w:rsidP="00073530">
      <w:pPr>
        <w:pBdr>
          <w:bottom w:val="single" w:sz="4" w:space="1" w:color="auto"/>
        </w:pBdr>
        <w:rPr>
          <w:i/>
        </w:rPr>
      </w:pPr>
      <w:r w:rsidRPr="005026C8">
        <w:rPr>
          <w:i/>
        </w:rPr>
        <w:t>In respect of claims presented on or after 6 April 2019, the Vento bands increase</w:t>
      </w:r>
      <w:r w:rsidR="005E34C8">
        <w:rPr>
          <w:i/>
        </w:rPr>
        <w:t>d</w:t>
      </w:r>
      <w:r w:rsidRPr="005026C8">
        <w:rPr>
          <w:i/>
        </w:rPr>
        <w:t xml:space="preserve"> as follows: </w:t>
      </w:r>
    </w:p>
    <w:p w:rsidR="00073530" w:rsidRPr="005026C8" w:rsidRDefault="00073530" w:rsidP="00073530">
      <w:pPr>
        <w:pBdr>
          <w:bottom w:val="single" w:sz="4" w:space="1" w:color="auto"/>
        </w:pBdr>
        <w:rPr>
          <w:i/>
        </w:rPr>
      </w:pPr>
      <w:r w:rsidRPr="005026C8">
        <w:rPr>
          <w:i/>
        </w:rPr>
        <w:t>•Lower band: £900 - £8,800.</w:t>
      </w:r>
    </w:p>
    <w:p w:rsidR="00073530" w:rsidRPr="005026C8" w:rsidRDefault="00073530" w:rsidP="00073530">
      <w:pPr>
        <w:pBdr>
          <w:bottom w:val="single" w:sz="4" w:space="1" w:color="auto"/>
        </w:pBdr>
        <w:rPr>
          <w:i/>
        </w:rPr>
      </w:pPr>
      <w:r w:rsidRPr="005026C8">
        <w:rPr>
          <w:i/>
        </w:rPr>
        <w:t>•Middle band: £8,800 - £26,300.</w:t>
      </w:r>
    </w:p>
    <w:p w:rsidR="00073530" w:rsidRPr="00073530" w:rsidRDefault="00073530" w:rsidP="00073530">
      <w:pPr>
        <w:pBdr>
          <w:bottom w:val="single" w:sz="4" w:space="1" w:color="auto"/>
        </w:pBdr>
      </w:pPr>
      <w:r w:rsidRPr="005026C8">
        <w:rPr>
          <w:i/>
        </w:rPr>
        <w:t>•Upper band: £26,300 - £44,000</w:t>
      </w:r>
      <w:r w:rsidRPr="00073530">
        <w:t>]</w:t>
      </w:r>
    </w:p>
    <w:p w:rsidR="00073530" w:rsidRDefault="00073530" w:rsidP="00262F2C">
      <w:pPr>
        <w:pBdr>
          <w:bottom w:val="single" w:sz="4" w:space="1" w:color="auto"/>
        </w:pBdr>
        <w:rPr>
          <w:b/>
        </w:rPr>
      </w:pPr>
    </w:p>
    <w:p w:rsidR="00073530" w:rsidRDefault="00073530" w:rsidP="00262F2C">
      <w:pPr>
        <w:pBdr>
          <w:bottom w:val="single" w:sz="4" w:space="1" w:color="auto"/>
        </w:pBdr>
        <w:rPr>
          <w:b/>
        </w:rPr>
      </w:pPr>
    </w:p>
    <w:p w:rsidR="00073530" w:rsidRDefault="00073530" w:rsidP="00262F2C">
      <w:pPr>
        <w:rPr>
          <w:b/>
        </w:rPr>
      </w:pPr>
    </w:p>
    <w:p w:rsidR="00262F2C" w:rsidRDefault="00262F2C" w:rsidP="00262F2C">
      <w:pPr>
        <w:rPr>
          <w:b/>
        </w:rPr>
      </w:pPr>
      <w:r>
        <w:rPr>
          <w:b/>
        </w:rPr>
        <w:t>Total</w:t>
      </w:r>
      <w:r w:rsidR="00073530">
        <w:rPr>
          <w:b/>
        </w:rPr>
        <w:t xml:space="preserve"> Loss</w:t>
      </w:r>
      <w:r>
        <w:rPr>
          <w:b/>
        </w:rPr>
        <w:t>: £</w:t>
      </w:r>
      <w:r w:rsidR="005E34C8">
        <w:rPr>
          <w:b/>
        </w:rPr>
        <w:t>43,383.02</w:t>
      </w:r>
    </w:p>
    <w:p w:rsidR="00262F2C" w:rsidRPr="00262F2C" w:rsidRDefault="00262F2C" w:rsidP="00262F2C">
      <w:r>
        <w:t xml:space="preserve">The above figure does not </w:t>
      </w:r>
      <w:proofErr w:type="gramStart"/>
      <w:r>
        <w:t>take into account</w:t>
      </w:r>
      <w:proofErr w:type="gramEnd"/>
      <w:r>
        <w:t xml:space="preserve"> ESA payments that the Claimant has received that wil</w:t>
      </w:r>
      <w:r w:rsidR="001623A0">
        <w:t xml:space="preserve">l have to be repaid to the DWP in addition to the sums lost by the Claimant. </w:t>
      </w:r>
    </w:p>
    <w:sectPr w:rsidR="00262F2C" w:rsidRPr="00262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1B40"/>
    <w:multiLevelType w:val="hybridMultilevel"/>
    <w:tmpl w:val="9742668C"/>
    <w:lvl w:ilvl="0" w:tplc="76D68C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D2DBE"/>
    <w:multiLevelType w:val="hybridMultilevel"/>
    <w:tmpl w:val="826C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0100B"/>
    <w:multiLevelType w:val="hybridMultilevel"/>
    <w:tmpl w:val="49E8A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B5A04"/>
    <w:multiLevelType w:val="hybridMultilevel"/>
    <w:tmpl w:val="56C2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BA"/>
    <w:rsid w:val="00007485"/>
    <w:rsid w:val="00046A75"/>
    <w:rsid w:val="00073530"/>
    <w:rsid w:val="000C15B5"/>
    <w:rsid w:val="001623A0"/>
    <w:rsid w:val="00180437"/>
    <w:rsid w:val="001F3A80"/>
    <w:rsid w:val="001F65B7"/>
    <w:rsid w:val="00215073"/>
    <w:rsid w:val="00241B2F"/>
    <w:rsid w:val="00262F2C"/>
    <w:rsid w:val="00282CF9"/>
    <w:rsid w:val="002D0A21"/>
    <w:rsid w:val="003225BC"/>
    <w:rsid w:val="005026C8"/>
    <w:rsid w:val="005872C2"/>
    <w:rsid w:val="005C6787"/>
    <w:rsid w:val="005E34C8"/>
    <w:rsid w:val="005F6D91"/>
    <w:rsid w:val="0079581D"/>
    <w:rsid w:val="007A27C6"/>
    <w:rsid w:val="00837E93"/>
    <w:rsid w:val="0099029B"/>
    <w:rsid w:val="00AC247E"/>
    <w:rsid w:val="00AD7834"/>
    <w:rsid w:val="00BE0BDB"/>
    <w:rsid w:val="00CB0788"/>
    <w:rsid w:val="00D93600"/>
    <w:rsid w:val="00DC3CBA"/>
    <w:rsid w:val="00DD261F"/>
    <w:rsid w:val="00EC2B67"/>
    <w:rsid w:val="00F1278E"/>
    <w:rsid w:val="00FC5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9668"/>
  <w15:docId w15:val="{AEFDDD63-A303-7942-8A18-50B66D74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D91"/>
    <w:pPr>
      <w:ind w:left="720"/>
      <w:contextualSpacing/>
    </w:pPr>
  </w:style>
  <w:style w:type="character" w:styleId="Hyperlink">
    <w:name w:val="Hyperlink"/>
    <w:basedOn w:val="DefaultParagraphFont"/>
    <w:uiPriority w:val="99"/>
    <w:unhideWhenUsed/>
    <w:rsid w:val="005026C8"/>
    <w:rPr>
      <w:color w:val="0000FF" w:themeColor="hyperlink"/>
      <w:u w:val="single"/>
    </w:rPr>
  </w:style>
  <w:style w:type="character" w:styleId="FollowedHyperlink">
    <w:name w:val="FollowedHyperlink"/>
    <w:basedOn w:val="DefaultParagraphFont"/>
    <w:uiPriority w:val="99"/>
    <w:semiHidden/>
    <w:unhideWhenUsed/>
    <w:rsid w:val="001623A0"/>
    <w:rPr>
      <w:color w:val="800080" w:themeColor="followedHyperlink"/>
      <w:u w:val="single"/>
    </w:rPr>
  </w:style>
  <w:style w:type="character" w:customStyle="1" w:styleId="legds">
    <w:name w:val="legds"/>
    <w:basedOn w:val="DefaultParagraphFont"/>
    <w:rsid w:val="00CB0788"/>
  </w:style>
  <w:style w:type="paragraph" w:customStyle="1" w:styleId="legclearfix">
    <w:name w:val="legclearfix"/>
    <w:basedOn w:val="Normal"/>
    <w:rsid w:val="00CB0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term">
    <w:name w:val="legterm"/>
    <w:basedOn w:val="DefaultParagraphFont"/>
    <w:rsid w:val="00CB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DF64-9A8F-534C-ABBC-4296A41B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Pollitt</dc:creator>
  <cp:lastModifiedBy>helen randall</cp:lastModifiedBy>
  <cp:revision>4</cp:revision>
  <dcterms:created xsi:type="dcterms:W3CDTF">2020-04-27T12:20:00Z</dcterms:created>
  <dcterms:modified xsi:type="dcterms:W3CDTF">2020-04-29T15:06:00Z</dcterms:modified>
</cp:coreProperties>
</file>