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963"/>
        <w:gridCol w:w="3466"/>
        <w:gridCol w:w="4246"/>
        <w:gridCol w:w="5939"/>
      </w:tblGrid>
      <w:tr w:rsidR="001458C8" w:rsidRPr="00D85581" w:rsidTr="00D85581">
        <w:tc>
          <w:tcPr>
            <w:tcW w:w="1951" w:type="dxa"/>
          </w:tcPr>
          <w:p w:rsidR="001458C8" w:rsidRPr="00D85581" w:rsidRDefault="001458C8" w:rsidP="00581CB7">
            <w:pPr>
              <w:autoSpaceDE w:val="0"/>
              <w:autoSpaceDN w:val="0"/>
              <w:adjustRightInd w:val="0"/>
              <w:jc w:val="both"/>
              <w:rPr>
                <w:rFonts w:cs="Arial"/>
                <w:b/>
                <w:i/>
                <w:color w:val="000000"/>
                <w:sz w:val="24"/>
              </w:rPr>
            </w:pPr>
          </w:p>
        </w:tc>
        <w:tc>
          <w:tcPr>
            <w:tcW w:w="3686" w:type="dxa"/>
          </w:tcPr>
          <w:p w:rsidR="00D85581" w:rsidRDefault="00D55ADF" w:rsidP="00D85581">
            <w:pPr>
              <w:autoSpaceDE w:val="0"/>
              <w:autoSpaceDN w:val="0"/>
              <w:adjustRightInd w:val="0"/>
              <w:jc w:val="center"/>
              <w:rPr>
                <w:rFonts w:cs="Arial"/>
                <w:b/>
                <w:i/>
                <w:color w:val="000000"/>
                <w:sz w:val="24"/>
              </w:rPr>
            </w:pPr>
            <w:r w:rsidRPr="00D85581">
              <w:rPr>
                <w:rFonts w:cs="Arial"/>
                <w:b/>
                <w:i/>
                <w:color w:val="000000"/>
                <w:sz w:val="24"/>
              </w:rPr>
              <w:t>“</w:t>
            </w:r>
            <w:r w:rsidR="001458C8" w:rsidRPr="00D85581">
              <w:rPr>
                <w:rFonts w:cs="Arial"/>
                <w:b/>
                <w:i/>
                <w:color w:val="000000"/>
                <w:sz w:val="24"/>
              </w:rPr>
              <w:t>CS1</w:t>
            </w:r>
            <w:r w:rsidRPr="00D85581">
              <w:rPr>
                <w:rFonts w:cs="Arial"/>
                <w:b/>
                <w:i/>
                <w:color w:val="000000"/>
                <w:sz w:val="24"/>
              </w:rPr>
              <w:t>”;   “Old scheme”</w:t>
            </w:r>
          </w:p>
          <w:p w:rsidR="001458C8" w:rsidRPr="00D85581" w:rsidRDefault="00D55ADF" w:rsidP="00D85581">
            <w:pPr>
              <w:autoSpaceDE w:val="0"/>
              <w:autoSpaceDN w:val="0"/>
              <w:adjustRightInd w:val="0"/>
              <w:jc w:val="center"/>
              <w:rPr>
                <w:rFonts w:cs="Arial"/>
                <w:b/>
                <w:i/>
                <w:color w:val="000000"/>
                <w:sz w:val="24"/>
              </w:rPr>
            </w:pPr>
            <w:r w:rsidRPr="00D85581">
              <w:rPr>
                <w:rFonts w:cs="Arial"/>
                <w:b/>
                <w:i/>
                <w:color w:val="000000"/>
                <w:sz w:val="24"/>
              </w:rPr>
              <w:t>“1993 scheme”</w:t>
            </w:r>
          </w:p>
        </w:tc>
        <w:tc>
          <w:tcPr>
            <w:tcW w:w="4536" w:type="dxa"/>
          </w:tcPr>
          <w:p w:rsidR="001458C8" w:rsidRPr="00D85581" w:rsidRDefault="00D55ADF" w:rsidP="00D85581">
            <w:pPr>
              <w:autoSpaceDE w:val="0"/>
              <w:autoSpaceDN w:val="0"/>
              <w:adjustRightInd w:val="0"/>
              <w:jc w:val="center"/>
              <w:rPr>
                <w:rFonts w:cs="Arial"/>
                <w:b/>
                <w:i/>
                <w:color w:val="000000"/>
                <w:sz w:val="24"/>
              </w:rPr>
            </w:pPr>
            <w:r w:rsidRPr="00D85581">
              <w:rPr>
                <w:rFonts w:cs="Arial"/>
                <w:b/>
                <w:i/>
                <w:color w:val="000000"/>
                <w:sz w:val="24"/>
              </w:rPr>
              <w:t>“</w:t>
            </w:r>
            <w:r w:rsidR="001458C8" w:rsidRPr="00D85581">
              <w:rPr>
                <w:rFonts w:cs="Arial"/>
                <w:b/>
                <w:i/>
                <w:color w:val="000000"/>
                <w:sz w:val="24"/>
              </w:rPr>
              <w:t>CS2</w:t>
            </w:r>
            <w:r w:rsidRPr="00D85581">
              <w:rPr>
                <w:rFonts w:cs="Arial"/>
                <w:b/>
                <w:i/>
                <w:color w:val="000000"/>
                <w:sz w:val="24"/>
              </w:rPr>
              <w:t>”;   “New scheme”;    “2003 scheme”</w:t>
            </w:r>
          </w:p>
        </w:tc>
        <w:tc>
          <w:tcPr>
            <w:tcW w:w="5386" w:type="dxa"/>
          </w:tcPr>
          <w:p w:rsidR="001458C8" w:rsidRPr="00D85581" w:rsidRDefault="001458C8" w:rsidP="00D85581">
            <w:pPr>
              <w:autoSpaceDE w:val="0"/>
              <w:autoSpaceDN w:val="0"/>
              <w:adjustRightInd w:val="0"/>
              <w:jc w:val="center"/>
              <w:rPr>
                <w:rFonts w:cs="Arial"/>
                <w:b/>
                <w:i/>
                <w:color w:val="000000"/>
                <w:sz w:val="24"/>
              </w:rPr>
            </w:pPr>
            <w:r w:rsidRPr="00D85581">
              <w:rPr>
                <w:rFonts w:cs="Arial"/>
                <w:b/>
                <w:i/>
                <w:color w:val="000000"/>
                <w:sz w:val="24"/>
              </w:rPr>
              <w:t>CS3</w:t>
            </w:r>
            <w:r w:rsidR="00D55ADF" w:rsidRPr="00D85581">
              <w:rPr>
                <w:rFonts w:cs="Arial"/>
                <w:b/>
                <w:i/>
                <w:color w:val="000000"/>
                <w:sz w:val="24"/>
              </w:rPr>
              <w:t>;</w:t>
            </w:r>
            <w:r w:rsidRPr="00D85581">
              <w:rPr>
                <w:rFonts w:cs="Arial"/>
                <w:b/>
                <w:i/>
                <w:color w:val="000000"/>
                <w:sz w:val="24"/>
              </w:rPr>
              <w:t xml:space="preserve"> “gross income scheme”</w:t>
            </w:r>
            <w:r w:rsidR="00D55ADF" w:rsidRPr="00D85581">
              <w:rPr>
                <w:rFonts w:cs="Arial"/>
                <w:b/>
                <w:i/>
                <w:color w:val="000000"/>
                <w:sz w:val="24"/>
              </w:rPr>
              <w:t xml:space="preserve">  “2008 scheme”  “2012 scheme”</w:t>
            </w:r>
          </w:p>
        </w:tc>
      </w:tr>
      <w:tr w:rsidR="00581CB7" w:rsidRPr="00D85581" w:rsidTr="00D85581">
        <w:tc>
          <w:tcPr>
            <w:tcW w:w="1951" w:type="dxa"/>
          </w:tcPr>
          <w:p w:rsidR="00581CB7" w:rsidRPr="00D85581" w:rsidRDefault="00475210" w:rsidP="00581CB7">
            <w:pPr>
              <w:autoSpaceDE w:val="0"/>
              <w:autoSpaceDN w:val="0"/>
              <w:adjustRightInd w:val="0"/>
              <w:jc w:val="both"/>
              <w:rPr>
                <w:rFonts w:asciiTheme="minorHAnsi" w:hAnsiTheme="minorHAnsi" w:cs="Arial"/>
                <w:b/>
                <w:i/>
                <w:color w:val="000000"/>
                <w:sz w:val="24"/>
                <w:szCs w:val="22"/>
              </w:rPr>
            </w:pPr>
            <w:r w:rsidRPr="00D85581">
              <w:rPr>
                <w:rFonts w:asciiTheme="minorHAnsi" w:hAnsiTheme="minorHAnsi" w:cs="Arial"/>
                <w:b/>
                <w:i/>
                <w:color w:val="000000"/>
                <w:sz w:val="24"/>
                <w:szCs w:val="22"/>
              </w:rPr>
              <w:t>Start date:</w:t>
            </w:r>
          </w:p>
        </w:tc>
        <w:tc>
          <w:tcPr>
            <w:tcW w:w="3686" w:type="dxa"/>
          </w:tcPr>
          <w:p w:rsidR="00581CB7" w:rsidRPr="00D85581" w:rsidRDefault="001458C8" w:rsidP="00581CB7">
            <w:pPr>
              <w:autoSpaceDE w:val="0"/>
              <w:autoSpaceDN w:val="0"/>
              <w:adjustRightInd w:val="0"/>
              <w:jc w:val="both"/>
              <w:rPr>
                <w:rFonts w:asciiTheme="minorHAnsi" w:hAnsiTheme="minorHAnsi" w:cs="Arial"/>
                <w:color w:val="000000"/>
                <w:sz w:val="24"/>
                <w:szCs w:val="22"/>
              </w:rPr>
            </w:pPr>
            <w:r w:rsidRPr="00D85581">
              <w:rPr>
                <w:rFonts w:asciiTheme="minorHAnsi" w:hAnsiTheme="minorHAnsi" w:cs="Arial"/>
                <w:color w:val="000000"/>
                <w:sz w:val="24"/>
                <w:szCs w:val="22"/>
              </w:rPr>
              <w:t>Applications made after 5</w:t>
            </w:r>
            <w:r w:rsidR="00581CB7" w:rsidRPr="00D85581">
              <w:rPr>
                <w:rFonts w:asciiTheme="minorHAnsi" w:hAnsiTheme="minorHAnsi" w:cs="Arial"/>
                <w:color w:val="000000"/>
                <w:sz w:val="24"/>
                <w:szCs w:val="22"/>
              </w:rPr>
              <w:t xml:space="preserve"> April 1993</w:t>
            </w:r>
          </w:p>
        </w:tc>
        <w:tc>
          <w:tcPr>
            <w:tcW w:w="4536" w:type="dxa"/>
          </w:tcPr>
          <w:p w:rsidR="00581CB7" w:rsidRPr="00D85581" w:rsidRDefault="00581CB7" w:rsidP="00581CB7">
            <w:pPr>
              <w:autoSpaceDE w:val="0"/>
              <w:autoSpaceDN w:val="0"/>
              <w:adjustRightInd w:val="0"/>
              <w:jc w:val="both"/>
              <w:rPr>
                <w:rFonts w:asciiTheme="minorHAnsi" w:hAnsiTheme="minorHAnsi" w:cs="Arial"/>
                <w:color w:val="000000"/>
                <w:sz w:val="24"/>
                <w:szCs w:val="22"/>
              </w:rPr>
            </w:pPr>
            <w:r w:rsidRPr="00D85581">
              <w:rPr>
                <w:rFonts w:asciiTheme="minorHAnsi" w:hAnsiTheme="minorHAnsi" w:cs="Arial"/>
                <w:color w:val="000000"/>
                <w:sz w:val="24"/>
                <w:szCs w:val="22"/>
              </w:rPr>
              <w:t>Applications made (roughly) after 3/3/2003</w:t>
            </w:r>
          </w:p>
        </w:tc>
        <w:tc>
          <w:tcPr>
            <w:tcW w:w="5386" w:type="dxa"/>
          </w:tcPr>
          <w:p w:rsidR="00581CB7" w:rsidRPr="00D85581" w:rsidRDefault="00581CB7" w:rsidP="00015B1B">
            <w:pPr>
              <w:autoSpaceDE w:val="0"/>
              <w:autoSpaceDN w:val="0"/>
              <w:adjustRightInd w:val="0"/>
              <w:jc w:val="both"/>
              <w:rPr>
                <w:rFonts w:asciiTheme="minorHAnsi" w:hAnsiTheme="minorHAnsi" w:cs="Arial"/>
                <w:color w:val="000000"/>
                <w:sz w:val="24"/>
                <w:szCs w:val="22"/>
              </w:rPr>
            </w:pPr>
            <w:r w:rsidRPr="00D85581">
              <w:rPr>
                <w:rFonts w:asciiTheme="minorHAnsi" w:hAnsiTheme="minorHAnsi" w:cs="Arial"/>
                <w:color w:val="000000"/>
                <w:sz w:val="24"/>
                <w:szCs w:val="22"/>
              </w:rPr>
              <w:t>Gradual intake (depending on</w:t>
            </w:r>
            <w:r w:rsidR="00015B1B">
              <w:rPr>
                <w:rFonts w:asciiTheme="minorHAnsi" w:hAnsiTheme="minorHAnsi" w:cs="Arial"/>
                <w:color w:val="000000"/>
                <w:sz w:val="24"/>
                <w:szCs w:val="22"/>
              </w:rPr>
              <w:t xml:space="preserve"> family composition): </w:t>
            </w:r>
            <w:r w:rsidRPr="00D85581">
              <w:rPr>
                <w:rFonts w:asciiTheme="minorHAnsi" w:hAnsiTheme="minorHAnsi" w:cs="Arial"/>
                <w:color w:val="000000"/>
                <w:sz w:val="24"/>
                <w:szCs w:val="22"/>
              </w:rPr>
              <w:t xml:space="preserve"> 10/12/12</w:t>
            </w:r>
            <w:r w:rsidR="009351ED" w:rsidRPr="00D85581">
              <w:rPr>
                <w:rFonts w:asciiTheme="minorHAnsi" w:hAnsiTheme="minorHAnsi" w:cs="Arial"/>
                <w:color w:val="000000"/>
                <w:sz w:val="24"/>
                <w:szCs w:val="22"/>
              </w:rPr>
              <w:t>(4+children)</w:t>
            </w:r>
            <w:r w:rsidR="00015B1B">
              <w:rPr>
                <w:rFonts w:asciiTheme="minorHAnsi" w:hAnsiTheme="minorHAnsi" w:cs="Arial"/>
                <w:color w:val="000000"/>
                <w:sz w:val="24"/>
                <w:szCs w:val="22"/>
              </w:rPr>
              <w:t>;</w:t>
            </w:r>
            <w:r w:rsidR="009351ED" w:rsidRPr="00D85581">
              <w:rPr>
                <w:rFonts w:asciiTheme="minorHAnsi" w:hAnsiTheme="minorHAnsi" w:cs="Arial"/>
                <w:color w:val="000000"/>
                <w:sz w:val="24"/>
                <w:szCs w:val="22"/>
              </w:rPr>
              <w:t>29/7/13(2+children)</w:t>
            </w:r>
            <w:r w:rsidR="00015B1B">
              <w:rPr>
                <w:rFonts w:asciiTheme="minorHAnsi" w:hAnsiTheme="minorHAnsi" w:cs="Arial"/>
                <w:color w:val="000000"/>
                <w:sz w:val="24"/>
                <w:szCs w:val="22"/>
              </w:rPr>
              <w:t>;25.11.2013</w:t>
            </w:r>
            <w:r w:rsidR="00475210" w:rsidRPr="00D85581">
              <w:rPr>
                <w:rFonts w:asciiTheme="minorHAnsi" w:hAnsiTheme="minorHAnsi" w:cs="Arial"/>
                <w:color w:val="000000"/>
                <w:sz w:val="24"/>
                <w:szCs w:val="22"/>
              </w:rPr>
              <w:t>(all)</w:t>
            </w:r>
            <w:r w:rsidR="00015B1B">
              <w:rPr>
                <w:rFonts w:asciiTheme="minorHAnsi" w:hAnsiTheme="minorHAnsi" w:cs="Arial"/>
                <w:color w:val="000000"/>
                <w:sz w:val="24"/>
                <w:szCs w:val="22"/>
              </w:rPr>
              <w:t>.</w:t>
            </w:r>
          </w:p>
        </w:tc>
      </w:tr>
      <w:tr w:rsidR="00581CB7" w:rsidRPr="00D85581" w:rsidTr="00D85581">
        <w:tc>
          <w:tcPr>
            <w:tcW w:w="1951" w:type="dxa"/>
          </w:tcPr>
          <w:p w:rsidR="00581CB7" w:rsidRPr="00D85581" w:rsidRDefault="00581CB7" w:rsidP="00581CB7">
            <w:pPr>
              <w:autoSpaceDE w:val="0"/>
              <w:autoSpaceDN w:val="0"/>
              <w:adjustRightInd w:val="0"/>
              <w:jc w:val="both"/>
              <w:rPr>
                <w:rFonts w:asciiTheme="minorHAnsi" w:hAnsiTheme="minorHAnsi" w:cs="Arial"/>
                <w:b/>
                <w:i/>
                <w:color w:val="000000"/>
                <w:sz w:val="24"/>
                <w:szCs w:val="22"/>
              </w:rPr>
            </w:pPr>
            <w:r w:rsidRPr="00D85581">
              <w:rPr>
                <w:rFonts w:asciiTheme="minorHAnsi" w:hAnsiTheme="minorHAnsi" w:cs="Arial"/>
                <w:b/>
                <w:i/>
                <w:color w:val="000000"/>
                <w:sz w:val="24"/>
                <w:szCs w:val="22"/>
              </w:rPr>
              <w:t>Statute</w:t>
            </w:r>
          </w:p>
        </w:tc>
        <w:tc>
          <w:tcPr>
            <w:tcW w:w="3686" w:type="dxa"/>
          </w:tcPr>
          <w:p w:rsidR="00581CB7" w:rsidRPr="00D85581" w:rsidRDefault="00581CB7" w:rsidP="00581CB7">
            <w:pPr>
              <w:autoSpaceDE w:val="0"/>
              <w:autoSpaceDN w:val="0"/>
              <w:adjustRightInd w:val="0"/>
              <w:jc w:val="both"/>
              <w:rPr>
                <w:rFonts w:asciiTheme="minorHAnsi" w:hAnsiTheme="minorHAnsi" w:cs="Arial"/>
                <w:color w:val="000000"/>
                <w:sz w:val="24"/>
                <w:szCs w:val="22"/>
              </w:rPr>
            </w:pPr>
            <w:r w:rsidRPr="00D85581">
              <w:rPr>
                <w:rFonts w:asciiTheme="minorHAnsi" w:hAnsiTheme="minorHAnsi" w:cs="Arial"/>
                <w:color w:val="000000"/>
                <w:sz w:val="24"/>
                <w:szCs w:val="22"/>
              </w:rPr>
              <w:t>Child Support Acts 1991 &amp; 1995</w:t>
            </w:r>
          </w:p>
        </w:tc>
        <w:tc>
          <w:tcPr>
            <w:tcW w:w="4536" w:type="dxa"/>
          </w:tcPr>
          <w:p w:rsidR="00581CB7" w:rsidRPr="00D85581" w:rsidRDefault="00581CB7" w:rsidP="00581CB7">
            <w:pPr>
              <w:autoSpaceDE w:val="0"/>
              <w:autoSpaceDN w:val="0"/>
              <w:adjustRightInd w:val="0"/>
              <w:jc w:val="both"/>
              <w:rPr>
                <w:rFonts w:asciiTheme="minorHAnsi" w:hAnsiTheme="minorHAnsi" w:cs="Arial"/>
                <w:color w:val="000000"/>
                <w:sz w:val="24"/>
                <w:szCs w:val="22"/>
              </w:rPr>
            </w:pPr>
            <w:r w:rsidRPr="00D85581">
              <w:rPr>
                <w:rFonts w:asciiTheme="minorHAnsi" w:hAnsiTheme="minorHAnsi" w:cs="Arial"/>
                <w:color w:val="000000"/>
                <w:sz w:val="24"/>
                <w:szCs w:val="22"/>
              </w:rPr>
              <w:t>Child Support, Pensions and Social Security Act 2000</w:t>
            </w:r>
          </w:p>
        </w:tc>
        <w:tc>
          <w:tcPr>
            <w:tcW w:w="5386" w:type="dxa"/>
          </w:tcPr>
          <w:p w:rsidR="00581CB7" w:rsidRPr="00D85581" w:rsidRDefault="00581CB7" w:rsidP="00581CB7">
            <w:pPr>
              <w:autoSpaceDE w:val="0"/>
              <w:autoSpaceDN w:val="0"/>
              <w:adjustRightInd w:val="0"/>
              <w:jc w:val="both"/>
              <w:rPr>
                <w:rFonts w:asciiTheme="minorHAnsi" w:hAnsiTheme="minorHAnsi" w:cs="Arial"/>
                <w:color w:val="000000"/>
                <w:sz w:val="24"/>
                <w:szCs w:val="22"/>
              </w:rPr>
            </w:pPr>
            <w:r w:rsidRPr="00D85581">
              <w:rPr>
                <w:rFonts w:asciiTheme="minorHAnsi" w:hAnsiTheme="minorHAnsi" w:cs="Arial"/>
                <w:color w:val="000000"/>
                <w:sz w:val="24"/>
                <w:szCs w:val="22"/>
              </w:rPr>
              <w:t>Child Maintenance and Other Payments Act 2008</w:t>
            </w:r>
          </w:p>
        </w:tc>
      </w:tr>
      <w:tr w:rsidR="00581CB7" w:rsidRPr="00D85581" w:rsidTr="00D85581">
        <w:tc>
          <w:tcPr>
            <w:tcW w:w="1951" w:type="dxa"/>
          </w:tcPr>
          <w:p w:rsidR="00581CB7" w:rsidRPr="00D85581" w:rsidRDefault="00581CB7" w:rsidP="00581CB7">
            <w:pPr>
              <w:autoSpaceDE w:val="0"/>
              <w:autoSpaceDN w:val="0"/>
              <w:adjustRightInd w:val="0"/>
              <w:jc w:val="both"/>
              <w:rPr>
                <w:rFonts w:asciiTheme="minorHAnsi" w:hAnsiTheme="minorHAnsi" w:cs="Arial"/>
                <w:b/>
                <w:i/>
                <w:color w:val="000000"/>
                <w:sz w:val="24"/>
                <w:szCs w:val="22"/>
              </w:rPr>
            </w:pPr>
            <w:r w:rsidRPr="00D85581">
              <w:rPr>
                <w:rFonts w:asciiTheme="minorHAnsi" w:hAnsiTheme="minorHAnsi" w:cs="Arial"/>
                <w:b/>
                <w:i/>
                <w:color w:val="000000"/>
                <w:sz w:val="24"/>
                <w:szCs w:val="22"/>
              </w:rPr>
              <w:t>Terminology</w:t>
            </w:r>
            <w:r w:rsidR="001B5F91" w:rsidRPr="00D85581">
              <w:rPr>
                <w:rFonts w:asciiTheme="minorHAnsi" w:hAnsiTheme="minorHAnsi" w:cs="Arial"/>
                <w:b/>
                <w:i/>
                <w:color w:val="000000"/>
                <w:sz w:val="24"/>
                <w:szCs w:val="22"/>
              </w:rPr>
              <w:t xml:space="preserve"> of peops</w:t>
            </w:r>
          </w:p>
        </w:tc>
        <w:tc>
          <w:tcPr>
            <w:tcW w:w="3686" w:type="dxa"/>
          </w:tcPr>
          <w:p w:rsidR="00581CB7" w:rsidRPr="00D85581" w:rsidRDefault="00581CB7" w:rsidP="00581CB7">
            <w:pPr>
              <w:autoSpaceDE w:val="0"/>
              <w:autoSpaceDN w:val="0"/>
              <w:adjustRightInd w:val="0"/>
              <w:jc w:val="both"/>
              <w:rPr>
                <w:rFonts w:asciiTheme="minorHAnsi" w:hAnsiTheme="minorHAnsi" w:cs="Arial"/>
                <w:color w:val="000000"/>
                <w:sz w:val="24"/>
                <w:szCs w:val="22"/>
              </w:rPr>
            </w:pPr>
            <w:r w:rsidRPr="00D85581">
              <w:rPr>
                <w:rFonts w:asciiTheme="minorHAnsi" w:hAnsiTheme="minorHAnsi" w:cs="Arial"/>
                <w:color w:val="000000"/>
                <w:sz w:val="24"/>
                <w:szCs w:val="22"/>
              </w:rPr>
              <w:t>Parent with care</w:t>
            </w:r>
            <w:r w:rsidR="00D85581" w:rsidRPr="00D85581">
              <w:rPr>
                <w:rFonts w:asciiTheme="minorHAnsi" w:hAnsiTheme="minorHAnsi" w:cs="Arial"/>
                <w:color w:val="000000"/>
                <w:sz w:val="24"/>
                <w:szCs w:val="22"/>
              </w:rPr>
              <w:t xml:space="preserve"> (“PWC”)</w:t>
            </w:r>
            <w:r w:rsidRPr="00D85581">
              <w:rPr>
                <w:rFonts w:asciiTheme="minorHAnsi" w:hAnsiTheme="minorHAnsi" w:cs="Arial"/>
                <w:color w:val="000000"/>
                <w:sz w:val="24"/>
                <w:szCs w:val="22"/>
              </w:rPr>
              <w:t xml:space="preserve"> and absent parent (later non-resident parent</w:t>
            </w:r>
            <w:r w:rsidR="00D85581" w:rsidRPr="00D85581">
              <w:rPr>
                <w:rFonts w:asciiTheme="minorHAnsi" w:hAnsiTheme="minorHAnsi" w:cs="Arial"/>
                <w:color w:val="000000"/>
                <w:sz w:val="24"/>
                <w:szCs w:val="22"/>
              </w:rPr>
              <w:t>, “NRP”</w:t>
            </w:r>
            <w:r w:rsidRPr="00D85581">
              <w:rPr>
                <w:rFonts w:asciiTheme="minorHAnsi" w:hAnsiTheme="minorHAnsi" w:cs="Arial"/>
                <w:color w:val="000000"/>
                <w:sz w:val="24"/>
                <w:szCs w:val="22"/>
              </w:rPr>
              <w:t>)</w:t>
            </w:r>
          </w:p>
        </w:tc>
        <w:tc>
          <w:tcPr>
            <w:tcW w:w="4536" w:type="dxa"/>
          </w:tcPr>
          <w:p w:rsidR="00581CB7" w:rsidRPr="00D85581" w:rsidRDefault="007C503E" w:rsidP="00581CB7">
            <w:pPr>
              <w:autoSpaceDE w:val="0"/>
              <w:autoSpaceDN w:val="0"/>
              <w:adjustRightInd w:val="0"/>
              <w:jc w:val="both"/>
              <w:rPr>
                <w:rFonts w:asciiTheme="minorHAnsi" w:hAnsiTheme="minorHAnsi" w:cs="Arial"/>
                <w:color w:val="000000"/>
                <w:sz w:val="24"/>
                <w:szCs w:val="22"/>
              </w:rPr>
            </w:pPr>
            <w:r>
              <w:rPr>
                <w:rFonts w:asciiTheme="minorHAnsi" w:hAnsiTheme="minorHAnsi" w:cs="Arial"/>
                <w:color w:val="000000"/>
                <w:sz w:val="24"/>
                <w:szCs w:val="22"/>
              </w:rPr>
              <w:t>“</w:t>
            </w:r>
            <w:r w:rsidR="00D85581" w:rsidRPr="00D85581">
              <w:rPr>
                <w:rFonts w:asciiTheme="minorHAnsi" w:hAnsiTheme="minorHAnsi" w:cs="Arial"/>
                <w:color w:val="000000"/>
                <w:sz w:val="24"/>
                <w:szCs w:val="22"/>
              </w:rPr>
              <w:t>PWC</w:t>
            </w:r>
            <w:r>
              <w:rPr>
                <w:rFonts w:asciiTheme="minorHAnsi" w:hAnsiTheme="minorHAnsi" w:cs="Arial"/>
                <w:color w:val="000000"/>
                <w:sz w:val="24"/>
                <w:szCs w:val="22"/>
              </w:rPr>
              <w:t>”</w:t>
            </w:r>
            <w:r w:rsidR="00D85581" w:rsidRPr="00D85581">
              <w:rPr>
                <w:rFonts w:asciiTheme="minorHAnsi" w:hAnsiTheme="minorHAnsi" w:cs="Arial"/>
                <w:color w:val="000000"/>
                <w:sz w:val="24"/>
                <w:szCs w:val="22"/>
              </w:rPr>
              <w:t xml:space="preserve"> &amp; </w:t>
            </w:r>
            <w:r>
              <w:rPr>
                <w:rFonts w:asciiTheme="minorHAnsi" w:hAnsiTheme="minorHAnsi" w:cs="Arial"/>
                <w:color w:val="000000"/>
                <w:sz w:val="24"/>
                <w:szCs w:val="22"/>
              </w:rPr>
              <w:t>“</w:t>
            </w:r>
            <w:r w:rsidR="00D85581" w:rsidRPr="00D85581">
              <w:rPr>
                <w:rFonts w:asciiTheme="minorHAnsi" w:hAnsiTheme="minorHAnsi" w:cs="Arial"/>
                <w:color w:val="000000"/>
                <w:sz w:val="24"/>
                <w:szCs w:val="22"/>
              </w:rPr>
              <w:t>NRP</w:t>
            </w:r>
            <w:r>
              <w:rPr>
                <w:rFonts w:asciiTheme="minorHAnsi" w:hAnsiTheme="minorHAnsi" w:cs="Arial"/>
                <w:color w:val="000000"/>
                <w:sz w:val="24"/>
                <w:szCs w:val="22"/>
              </w:rPr>
              <w:t>”</w:t>
            </w:r>
            <w:r w:rsidR="00D85581" w:rsidRPr="00D85581">
              <w:rPr>
                <w:rFonts w:asciiTheme="minorHAnsi" w:hAnsiTheme="minorHAnsi" w:cs="Arial"/>
                <w:color w:val="000000"/>
                <w:sz w:val="24"/>
                <w:szCs w:val="22"/>
              </w:rPr>
              <w:t xml:space="preserve"> </w:t>
            </w:r>
            <w:r w:rsidR="00581CB7" w:rsidRPr="00D85581">
              <w:rPr>
                <w:rFonts w:asciiTheme="minorHAnsi" w:hAnsiTheme="minorHAnsi" w:cs="Arial"/>
                <w:color w:val="000000"/>
                <w:sz w:val="24"/>
                <w:szCs w:val="22"/>
              </w:rPr>
              <w:t xml:space="preserve"> </w:t>
            </w:r>
          </w:p>
        </w:tc>
        <w:tc>
          <w:tcPr>
            <w:tcW w:w="5386" w:type="dxa"/>
          </w:tcPr>
          <w:p w:rsidR="00581CB7" w:rsidRPr="00D85581" w:rsidRDefault="007C503E" w:rsidP="00581CB7">
            <w:pPr>
              <w:autoSpaceDE w:val="0"/>
              <w:autoSpaceDN w:val="0"/>
              <w:adjustRightInd w:val="0"/>
              <w:rPr>
                <w:rFonts w:asciiTheme="minorHAnsi" w:hAnsiTheme="minorHAnsi" w:cs="Arial"/>
                <w:color w:val="000000"/>
                <w:sz w:val="24"/>
                <w:szCs w:val="22"/>
              </w:rPr>
            </w:pPr>
            <w:r>
              <w:rPr>
                <w:rFonts w:asciiTheme="minorHAnsi" w:hAnsiTheme="minorHAnsi" w:cs="Arial"/>
                <w:color w:val="000000"/>
                <w:sz w:val="24"/>
                <w:szCs w:val="22"/>
              </w:rPr>
              <w:t>“</w:t>
            </w:r>
            <w:r w:rsidR="00475210" w:rsidRPr="00D85581">
              <w:rPr>
                <w:rFonts w:asciiTheme="minorHAnsi" w:hAnsiTheme="minorHAnsi" w:cs="Arial"/>
                <w:color w:val="000000"/>
                <w:sz w:val="24"/>
                <w:szCs w:val="22"/>
              </w:rPr>
              <w:t>Receiving Parent</w:t>
            </w:r>
            <w:r>
              <w:rPr>
                <w:rFonts w:asciiTheme="minorHAnsi" w:hAnsiTheme="minorHAnsi" w:cs="Arial"/>
                <w:color w:val="000000"/>
                <w:sz w:val="24"/>
                <w:szCs w:val="22"/>
              </w:rPr>
              <w:t>”</w:t>
            </w:r>
            <w:r w:rsidR="00475210" w:rsidRPr="00D85581">
              <w:rPr>
                <w:rFonts w:asciiTheme="minorHAnsi" w:hAnsiTheme="minorHAnsi" w:cs="Arial"/>
                <w:color w:val="000000"/>
                <w:sz w:val="24"/>
                <w:szCs w:val="22"/>
              </w:rPr>
              <w:t xml:space="preserve"> (“RP”) &amp; </w:t>
            </w:r>
            <w:r>
              <w:rPr>
                <w:rFonts w:asciiTheme="minorHAnsi" w:hAnsiTheme="minorHAnsi" w:cs="Arial"/>
                <w:color w:val="000000"/>
                <w:sz w:val="24"/>
                <w:szCs w:val="22"/>
              </w:rPr>
              <w:t>“Paying parent”</w:t>
            </w:r>
            <w:r w:rsidR="00475210" w:rsidRPr="00D85581">
              <w:rPr>
                <w:rFonts w:asciiTheme="minorHAnsi" w:hAnsiTheme="minorHAnsi" w:cs="Arial"/>
                <w:color w:val="000000"/>
                <w:sz w:val="24"/>
                <w:szCs w:val="22"/>
              </w:rPr>
              <w:t xml:space="preserve"> (“PP”?)</w:t>
            </w:r>
          </w:p>
        </w:tc>
      </w:tr>
      <w:tr w:rsidR="001B5F91" w:rsidRPr="00D85581" w:rsidTr="00D85581">
        <w:tc>
          <w:tcPr>
            <w:tcW w:w="1951" w:type="dxa"/>
          </w:tcPr>
          <w:p w:rsidR="001B5F91" w:rsidRPr="00D85581" w:rsidRDefault="001458C8" w:rsidP="00581CB7">
            <w:pPr>
              <w:autoSpaceDE w:val="0"/>
              <w:autoSpaceDN w:val="0"/>
              <w:adjustRightInd w:val="0"/>
              <w:jc w:val="both"/>
              <w:rPr>
                <w:rFonts w:cs="Arial"/>
                <w:b/>
                <w:i/>
                <w:color w:val="000000"/>
                <w:sz w:val="24"/>
              </w:rPr>
            </w:pPr>
            <w:r w:rsidRPr="00D85581">
              <w:rPr>
                <w:rFonts w:cs="Arial"/>
                <w:b/>
                <w:i/>
                <w:color w:val="000000"/>
                <w:sz w:val="24"/>
              </w:rPr>
              <w:t>W</w:t>
            </w:r>
            <w:r w:rsidR="001B5F91" w:rsidRPr="00D85581">
              <w:rPr>
                <w:rFonts w:cs="Arial"/>
                <w:b/>
                <w:i/>
                <w:color w:val="000000"/>
                <w:sz w:val="24"/>
              </w:rPr>
              <w:t>hat it does</w:t>
            </w:r>
          </w:p>
        </w:tc>
        <w:tc>
          <w:tcPr>
            <w:tcW w:w="3686" w:type="dxa"/>
          </w:tcPr>
          <w:p w:rsidR="001B5F91" w:rsidRPr="00D85581" w:rsidRDefault="001B5F91" w:rsidP="00581CB7">
            <w:pPr>
              <w:autoSpaceDE w:val="0"/>
              <w:autoSpaceDN w:val="0"/>
              <w:adjustRightInd w:val="0"/>
              <w:jc w:val="both"/>
              <w:rPr>
                <w:rFonts w:asciiTheme="minorHAnsi" w:hAnsiTheme="minorHAnsi" w:cs="Arial"/>
                <w:color w:val="000000"/>
                <w:sz w:val="24"/>
                <w:szCs w:val="22"/>
              </w:rPr>
            </w:pPr>
            <w:r w:rsidRPr="00D85581">
              <w:rPr>
                <w:rFonts w:asciiTheme="minorHAnsi" w:hAnsiTheme="minorHAnsi" w:cs="Arial"/>
                <w:color w:val="000000"/>
                <w:sz w:val="24"/>
                <w:szCs w:val="22"/>
              </w:rPr>
              <w:t>Assessment</w:t>
            </w:r>
          </w:p>
        </w:tc>
        <w:tc>
          <w:tcPr>
            <w:tcW w:w="4536" w:type="dxa"/>
          </w:tcPr>
          <w:p w:rsidR="001B5F91" w:rsidRPr="00D85581" w:rsidRDefault="001B5F91" w:rsidP="00581CB7">
            <w:pPr>
              <w:autoSpaceDE w:val="0"/>
              <w:autoSpaceDN w:val="0"/>
              <w:adjustRightInd w:val="0"/>
              <w:jc w:val="both"/>
              <w:rPr>
                <w:rFonts w:asciiTheme="minorHAnsi" w:hAnsiTheme="minorHAnsi" w:cs="Arial"/>
                <w:color w:val="000000"/>
                <w:sz w:val="24"/>
                <w:szCs w:val="22"/>
              </w:rPr>
            </w:pPr>
            <w:r w:rsidRPr="00D85581">
              <w:rPr>
                <w:rFonts w:asciiTheme="minorHAnsi" w:hAnsiTheme="minorHAnsi" w:cs="Arial"/>
                <w:color w:val="000000"/>
                <w:sz w:val="24"/>
                <w:szCs w:val="22"/>
              </w:rPr>
              <w:t>Calculation</w:t>
            </w:r>
          </w:p>
        </w:tc>
        <w:tc>
          <w:tcPr>
            <w:tcW w:w="5386" w:type="dxa"/>
          </w:tcPr>
          <w:p w:rsidR="001B5F91" w:rsidRPr="00D85581" w:rsidRDefault="001B5F91" w:rsidP="00581CB7">
            <w:pPr>
              <w:autoSpaceDE w:val="0"/>
              <w:autoSpaceDN w:val="0"/>
              <w:adjustRightInd w:val="0"/>
              <w:rPr>
                <w:rFonts w:asciiTheme="minorHAnsi" w:hAnsiTheme="minorHAnsi" w:cs="Arial"/>
                <w:color w:val="000000"/>
                <w:sz w:val="24"/>
                <w:szCs w:val="22"/>
              </w:rPr>
            </w:pPr>
            <w:r w:rsidRPr="00D85581">
              <w:rPr>
                <w:rFonts w:asciiTheme="minorHAnsi" w:hAnsiTheme="minorHAnsi" w:cs="Arial"/>
                <w:color w:val="000000"/>
                <w:sz w:val="24"/>
                <w:szCs w:val="22"/>
              </w:rPr>
              <w:t>Calculation decision</w:t>
            </w:r>
          </w:p>
        </w:tc>
      </w:tr>
      <w:tr w:rsidR="00581CB7" w:rsidRPr="00D85581" w:rsidTr="00D85581">
        <w:tc>
          <w:tcPr>
            <w:tcW w:w="1951" w:type="dxa"/>
          </w:tcPr>
          <w:p w:rsidR="00581CB7" w:rsidRPr="00D85581" w:rsidRDefault="00581CB7" w:rsidP="00581CB7">
            <w:pPr>
              <w:autoSpaceDE w:val="0"/>
              <w:autoSpaceDN w:val="0"/>
              <w:adjustRightInd w:val="0"/>
              <w:jc w:val="both"/>
              <w:rPr>
                <w:rFonts w:asciiTheme="minorHAnsi" w:hAnsiTheme="minorHAnsi" w:cs="Arial"/>
                <w:b/>
                <w:i/>
                <w:color w:val="000000"/>
                <w:sz w:val="24"/>
                <w:szCs w:val="22"/>
              </w:rPr>
            </w:pPr>
            <w:r w:rsidRPr="00D85581">
              <w:rPr>
                <w:rFonts w:asciiTheme="minorHAnsi" w:hAnsiTheme="minorHAnsi" w:cs="Arial"/>
                <w:b/>
                <w:i/>
                <w:color w:val="000000"/>
                <w:sz w:val="24"/>
                <w:szCs w:val="22"/>
              </w:rPr>
              <w:t>Variables in the formula</w:t>
            </w:r>
          </w:p>
        </w:tc>
        <w:tc>
          <w:tcPr>
            <w:tcW w:w="3686" w:type="dxa"/>
          </w:tcPr>
          <w:p w:rsidR="00581CB7" w:rsidRPr="00D85581" w:rsidRDefault="00475210" w:rsidP="00581CB7">
            <w:pPr>
              <w:autoSpaceDE w:val="0"/>
              <w:autoSpaceDN w:val="0"/>
              <w:adjustRightInd w:val="0"/>
              <w:jc w:val="both"/>
              <w:rPr>
                <w:rFonts w:asciiTheme="minorHAnsi" w:hAnsiTheme="minorHAnsi" w:cs="Arial"/>
                <w:color w:val="000000"/>
                <w:sz w:val="24"/>
                <w:szCs w:val="22"/>
              </w:rPr>
            </w:pPr>
            <w:r w:rsidRPr="00D85581">
              <w:rPr>
                <w:rFonts w:asciiTheme="minorHAnsi" w:hAnsiTheme="minorHAnsi" w:cs="Arial"/>
                <w:color w:val="000000"/>
                <w:sz w:val="24"/>
                <w:szCs w:val="22"/>
              </w:rPr>
              <w:t xml:space="preserve">‘Income shares model’: </w:t>
            </w:r>
            <w:r w:rsidR="00581CB7" w:rsidRPr="00D85581">
              <w:rPr>
                <w:rFonts w:asciiTheme="minorHAnsi" w:hAnsiTheme="minorHAnsi" w:cs="Arial"/>
                <w:color w:val="000000"/>
                <w:sz w:val="24"/>
                <w:szCs w:val="22"/>
              </w:rPr>
              <w:t>A wide range including net income from all sources and housing costs of NRP &amp; PWC</w:t>
            </w:r>
          </w:p>
        </w:tc>
        <w:tc>
          <w:tcPr>
            <w:tcW w:w="4536" w:type="dxa"/>
          </w:tcPr>
          <w:p w:rsidR="00581CB7" w:rsidRPr="00D85581" w:rsidRDefault="00475210" w:rsidP="00475210">
            <w:pPr>
              <w:autoSpaceDE w:val="0"/>
              <w:autoSpaceDN w:val="0"/>
              <w:adjustRightInd w:val="0"/>
              <w:jc w:val="both"/>
              <w:rPr>
                <w:rFonts w:asciiTheme="minorHAnsi" w:hAnsiTheme="minorHAnsi" w:cs="Arial"/>
                <w:color w:val="000000"/>
                <w:sz w:val="24"/>
                <w:szCs w:val="22"/>
              </w:rPr>
            </w:pPr>
            <w:r w:rsidRPr="00D85581">
              <w:rPr>
                <w:rFonts w:asciiTheme="minorHAnsi" w:hAnsiTheme="minorHAnsi" w:cs="Arial"/>
                <w:color w:val="000000"/>
                <w:sz w:val="24"/>
                <w:szCs w:val="22"/>
              </w:rPr>
              <w:t>‘Income percentage model’ T</w:t>
            </w:r>
            <w:r w:rsidR="00581CB7" w:rsidRPr="00D85581">
              <w:rPr>
                <w:rFonts w:asciiTheme="minorHAnsi" w:hAnsiTheme="minorHAnsi" w:cs="Arial"/>
                <w:color w:val="000000"/>
                <w:sz w:val="24"/>
                <w:szCs w:val="22"/>
              </w:rPr>
              <w:t xml:space="preserve">he main focus is on the NRP’s </w:t>
            </w:r>
            <w:r w:rsidRPr="00D85581">
              <w:rPr>
                <w:rFonts w:asciiTheme="minorHAnsi" w:hAnsiTheme="minorHAnsi" w:cs="Arial"/>
                <w:color w:val="000000"/>
                <w:sz w:val="24"/>
                <w:szCs w:val="22"/>
              </w:rPr>
              <w:t xml:space="preserve">earned </w:t>
            </w:r>
            <w:r w:rsidR="00581CB7" w:rsidRPr="00D85581">
              <w:rPr>
                <w:rFonts w:asciiTheme="minorHAnsi" w:hAnsiTheme="minorHAnsi" w:cs="Arial"/>
                <w:color w:val="000000"/>
                <w:sz w:val="24"/>
                <w:szCs w:val="22"/>
              </w:rPr>
              <w:t>net income at the time of the application.</w:t>
            </w:r>
          </w:p>
        </w:tc>
        <w:tc>
          <w:tcPr>
            <w:tcW w:w="5386" w:type="dxa"/>
          </w:tcPr>
          <w:p w:rsidR="00581CB7" w:rsidRPr="00D85581" w:rsidRDefault="007C503E" w:rsidP="007C503E">
            <w:pPr>
              <w:autoSpaceDE w:val="0"/>
              <w:autoSpaceDN w:val="0"/>
              <w:adjustRightInd w:val="0"/>
              <w:jc w:val="both"/>
              <w:rPr>
                <w:rFonts w:asciiTheme="minorHAnsi" w:hAnsiTheme="minorHAnsi" w:cs="Arial"/>
                <w:color w:val="000000"/>
                <w:sz w:val="24"/>
                <w:szCs w:val="22"/>
              </w:rPr>
            </w:pPr>
            <w:r>
              <w:rPr>
                <w:rFonts w:asciiTheme="minorHAnsi" w:hAnsiTheme="minorHAnsi" w:cs="Arial"/>
                <w:color w:val="000000"/>
                <w:sz w:val="24"/>
                <w:szCs w:val="22"/>
              </w:rPr>
              <w:t xml:space="preserve">Similar to CS2 but the income data is now usually that provided by HMRC’s records of </w:t>
            </w:r>
            <w:r w:rsidR="00581CB7" w:rsidRPr="00D85581">
              <w:rPr>
                <w:rFonts w:asciiTheme="minorHAnsi" w:hAnsiTheme="minorHAnsi" w:cs="Arial"/>
                <w:color w:val="000000"/>
                <w:sz w:val="24"/>
                <w:szCs w:val="22"/>
              </w:rPr>
              <w:t>the previous year’s gross income</w:t>
            </w:r>
            <w:r>
              <w:rPr>
                <w:rFonts w:asciiTheme="minorHAnsi" w:hAnsiTheme="minorHAnsi" w:cs="Arial"/>
                <w:color w:val="000000"/>
                <w:sz w:val="24"/>
                <w:szCs w:val="22"/>
              </w:rPr>
              <w:t>, relieving the CMS of the responsibility for identifying income in most cases</w:t>
            </w:r>
            <w:r w:rsidR="00581CB7" w:rsidRPr="00D85581">
              <w:rPr>
                <w:rFonts w:asciiTheme="minorHAnsi" w:hAnsiTheme="minorHAnsi" w:cs="Arial"/>
                <w:color w:val="000000"/>
                <w:sz w:val="24"/>
                <w:szCs w:val="22"/>
              </w:rPr>
              <w:t>.</w:t>
            </w:r>
          </w:p>
        </w:tc>
      </w:tr>
      <w:tr w:rsidR="00581CB7" w:rsidRPr="00D85581" w:rsidTr="00D85581">
        <w:tc>
          <w:tcPr>
            <w:tcW w:w="1951" w:type="dxa"/>
          </w:tcPr>
          <w:p w:rsidR="00581CB7" w:rsidRPr="00D85581" w:rsidRDefault="00475210" w:rsidP="00581CB7">
            <w:pPr>
              <w:autoSpaceDE w:val="0"/>
              <w:autoSpaceDN w:val="0"/>
              <w:adjustRightInd w:val="0"/>
              <w:jc w:val="both"/>
              <w:rPr>
                <w:rFonts w:asciiTheme="minorHAnsi" w:hAnsiTheme="minorHAnsi" w:cs="Arial"/>
                <w:b/>
                <w:i/>
                <w:color w:val="000000"/>
                <w:sz w:val="24"/>
                <w:szCs w:val="22"/>
              </w:rPr>
            </w:pPr>
            <w:r w:rsidRPr="00D85581">
              <w:rPr>
                <w:rFonts w:asciiTheme="minorHAnsi" w:hAnsiTheme="minorHAnsi" w:cs="Arial"/>
                <w:b/>
                <w:i/>
                <w:color w:val="000000"/>
                <w:sz w:val="24"/>
                <w:szCs w:val="22"/>
              </w:rPr>
              <w:t xml:space="preserve">Administrative </w:t>
            </w:r>
            <w:r w:rsidR="001B5F91" w:rsidRPr="00D85581">
              <w:rPr>
                <w:rFonts w:asciiTheme="minorHAnsi" w:hAnsiTheme="minorHAnsi" w:cs="Arial"/>
                <w:b/>
                <w:i/>
                <w:color w:val="000000"/>
                <w:sz w:val="24"/>
                <w:szCs w:val="22"/>
              </w:rPr>
              <w:t>Bodies</w:t>
            </w:r>
          </w:p>
        </w:tc>
        <w:tc>
          <w:tcPr>
            <w:tcW w:w="3686" w:type="dxa"/>
          </w:tcPr>
          <w:p w:rsidR="00581CB7" w:rsidRPr="00D85581" w:rsidRDefault="00581CB7" w:rsidP="00581CB7">
            <w:pPr>
              <w:autoSpaceDE w:val="0"/>
              <w:autoSpaceDN w:val="0"/>
              <w:adjustRightInd w:val="0"/>
              <w:jc w:val="both"/>
              <w:rPr>
                <w:rFonts w:asciiTheme="minorHAnsi" w:hAnsiTheme="minorHAnsi" w:cs="Arial"/>
                <w:color w:val="000000"/>
                <w:sz w:val="24"/>
                <w:szCs w:val="22"/>
              </w:rPr>
            </w:pPr>
            <w:r w:rsidRPr="00D85581">
              <w:rPr>
                <w:rFonts w:asciiTheme="minorHAnsi" w:hAnsiTheme="minorHAnsi" w:cs="Arial"/>
                <w:color w:val="000000"/>
                <w:sz w:val="24"/>
                <w:szCs w:val="22"/>
              </w:rPr>
              <w:t>The Child Support Agency</w:t>
            </w:r>
          </w:p>
        </w:tc>
        <w:tc>
          <w:tcPr>
            <w:tcW w:w="4536" w:type="dxa"/>
          </w:tcPr>
          <w:p w:rsidR="00581CB7" w:rsidRPr="00D85581" w:rsidRDefault="00581CB7" w:rsidP="00581CB7">
            <w:pPr>
              <w:autoSpaceDE w:val="0"/>
              <w:autoSpaceDN w:val="0"/>
              <w:adjustRightInd w:val="0"/>
              <w:jc w:val="both"/>
              <w:rPr>
                <w:rFonts w:asciiTheme="minorHAnsi" w:hAnsiTheme="minorHAnsi" w:cs="Arial"/>
                <w:color w:val="000000"/>
                <w:sz w:val="24"/>
                <w:szCs w:val="22"/>
              </w:rPr>
            </w:pPr>
            <w:r w:rsidRPr="00D85581">
              <w:rPr>
                <w:rFonts w:asciiTheme="minorHAnsi" w:hAnsiTheme="minorHAnsi" w:cs="Arial"/>
                <w:color w:val="000000"/>
                <w:sz w:val="24"/>
                <w:szCs w:val="22"/>
              </w:rPr>
              <w:t>The Child Maintenance &amp; Enforcement Commission (trading as the Child Support Agency)</w:t>
            </w:r>
          </w:p>
        </w:tc>
        <w:tc>
          <w:tcPr>
            <w:tcW w:w="5386" w:type="dxa"/>
          </w:tcPr>
          <w:p w:rsidR="001B5F91" w:rsidRPr="00D85581" w:rsidRDefault="001B5F91" w:rsidP="00581CB7">
            <w:pPr>
              <w:autoSpaceDE w:val="0"/>
              <w:autoSpaceDN w:val="0"/>
              <w:adjustRightInd w:val="0"/>
              <w:jc w:val="both"/>
              <w:rPr>
                <w:rFonts w:asciiTheme="minorHAnsi" w:hAnsiTheme="minorHAnsi" w:cs="Arial"/>
                <w:color w:val="000000"/>
                <w:sz w:val="24"/>
                <w:szCs w:val="22"/>
              </w:rPr>
            </w:pPr>
            <w:r w:rsidRPr="00D85581">
              <w:rPr>
                <w:rFonts w:asciiTheme="minorHAnsi" w:hAnsiTheme="minorHAnsi" w:cs="Arial"/>
                <w:color w:val="000000"/>
                <w:sz w:val="24"/>
                <w:szCs w:val="22"/>
              </w:rPr>
              <w:t>The Child Maintenance Service (part of DWP)</w:t>
            </w:r>
          </w:p>
          <w:p w:rsidR="00581CB7" w:rsidRPr="00D85581" w:rsidRDefault="001B5F91" w:rsidP="001B5F91">
            <w:pPr>
              <w:autoSpaceDE w:val="0"/>
              <w:autoSpaceDN w:val="0"/>
              <w:adjustRightInd w:val="0"/>
              <w:jc w:val="both"/>
              <w:rPr>
                <w:rFonts w:asciiTheme="minorHAnsi" w:hAnsiTheme="minorHAnsi" w:cs="Arial"/>
                <w:color w:val="000000"/>
                <w:sz w:val="24"/>
                <w:szCs w:val="22"/>
              </w:rPr>
            </w:pPr>
            <w:r w:rsidRPr="00D85581">
              <w:rPr>
                <w:rFonts w:asciiTheme="minorHAnsi" w:hAnsiTheme="minorHAnsi" w:cs="Arial"/>
                <w:color w:val="000000"/>
                <w:sz w:val="24"/>
                <w:szCs w:val="22"/>
              </w:rPr>
              <w:t>With investigations carried out by HMRC</w:t>
            </w:r>
          </w:p>
        </w:tc>
      </w:tr>
      <w:tr w:rsidR="00581CB7" w:rsidRPr="00D85581" w:rsidTr="00D85581">
        <w:tc>
          <w:tcPr>
            <w:tcW w:w="1951" w:type="dxa"/>
          </w:tcPr>
          <w:p w:rsidR="00581CB7" w:rsidRPr="00D85581" w:rsidRDefault="00581CB7" w:rsidP="00581CB7">
            <w:pPr>
              <w:autoSpaceDE w:val="0"/>
              <w:autoSpaceDN w:val="0"/>
              <w:adjustRightInd w:val="0"/>
              <w:jc w:val="both"/>
              <w:rPr>
                <w:rFonts w:asciiTheme="minorHAnsi" w:hAnsiTheme="minorHAnsi" w:cs="Arial"/>
                <w:b/>
                <w:i/>
                <w:color w:val="000000"/>
                <w:sz w:val="24"/>
                <w:szCs w:val="22"/>
              </w:rPr>
            </w:pPr>
            <w:r w:rsidRPr="00D85581">
              <w:rPr>
                <w:rFonts w:asciiTheme="minorHAnsi" w:hAnsiTheme="minorHAnsi" w:cs="Arial"/>
                <w:b/>
                <w:i/>
                <w:color w:val="000000"/>
                <w:sz w:val="24"/>
                <w:szCs w:val="22"/>
              </w:rPr>
              <w:t>Formula</w:t>
            </w:r>
          </w:p>
        </w:tc>
        <w:tc>
          <w:tcPr>
            <w:tcW w:w="3686" w:type="dxa"/>
          </w:tcPr>
          <w:p w:rsidR="00581CB7" w:rsidRPr="00D85581" w:rsidRDefault="00475210" w:rsidP="00475210">
            <w:pPr>
              <w:autoSpaceDE w:val="0"/>
              <w:autoSpaceDN w:val="0"/>
              <w:adjustRightInd w:val="0"/>
              <w:rPr>
                <w:rFonts w:asciiTheme="minorHAnsi" w:hAnsiTheme="minorHAnsi" w:cs="Arial"/>
                <w:color w:val="000000"/>
                <w:sz w:val="24"/>
                <w:szCs w:val="22"/>
              </w:rPr>
            </w:pPr>
            <w:r w:rsidRPr="00D85581">
              <w:rPr>
                <w:rFonts w:asciiTheme="minorHAnsi" w:hAnsiTheme="minorHAnsi" w:cs="Arial"/>
                <w:color w:val="000000"/>
                <w:sz w:val="24"/>
                <w:szCs w:val="22"/>
              </w:rPr>
              <w:t>Complex:</w:t>
            </w:r>
            <w:r w:rsidR="00581CB7" w:rsidRPr="00D85581">
              <w:rPr>
                <w:rFonts w:asciiTheme="minorHAnsi" w:hAnsiTheme="minorHAnsi" w:cs="Arial"/>
                <w:color w:val="000000"/>
                <w:sz w:val="24"/>
                <w:szCs w:val="22"/>
              </w:rPr>
              <w:t xml:space="preserve"> basic </w:t>
            </w:r>
            <w:r w:rsidRPr="00D85581">
              <w:rPr>
                <w:rFonts w:asciiTheme="minorHAnsi" w:hAnsiTheme="minorHAnsi" w:cs="Arial"/>
                <w:color w:val="000000"/>
                <w:sz w:val="24"/>
                <w:szCs w:val="22"/>
              </w:rPr>
              <w:t xml:space="preserve">&amp; </w:t>
            </w:r>
            <w:r w:rsidR="00581CB7" w:rsidRPr="00D85581">
              <w:rPr>
                <w:rFonts w:asciiTheme="minorHAnsi" w:hAnsiTheme="minorHAnsi" w:cs="Arial"/>
                <w:color w:val="000000"/>
                <w:sz w:val="24"/>
                <w:szCs w:val="22"/>
              </w:rPr>
              <w:t>additional element</w:t>
            </w:r>
            <w:r w:rsidRPr="00D85581">
              <w:rPr>
                <w:rFonts w:asciiTheme="minorHAnsi" w:hAnsiTheme="minorHAnsi" w:cs="Arial"/>
                <w:color w:val="000000"/>
                <w:sz w:val="24"/>
                <w:szCs w:val="22"/>
              </w:rPr>
              <w:t xml:space="preserve">s &amp; </w:t>
            </w:r>
            <w:r w:rsidR="00581CB7" w:rsidRPr="00D85581">
              <w:rPr>
                <w:rFonts w:asciiTheme="minorHAnsi" w:hAnsiTheme="minorHAnsi" w:cs="Arial"/>
                <w:color w:val="000000"/>
                <w:sz w:val="24"/>
                <w:szCs w:val="22"/>
              </w:rPr>
              <w:t>a range of “safety net” formulae, requiring up to 100 steps in the calculations</w:t>
            </w:r>
          </w:p>
        </w:tc>
        <w:tc>
          <w:tcPr>
            <w:tcW w:w="4536" w:type="dxa"/>
          </w:tcPr>
          <w:p w:rsidR="00581CB7" w:rsidRPr="00D85581" w:rsidRDefault="00581CB7" w:rsidP="00581CB7">
            <w:pPr>
              <w:autoSpaceDE w:val="0"/>
              <w:autoSpaceDN w:val="0"/>
              <w:adjustRightInd w:val="0"/>
              <w:jc w:val="both"/>
              <w:rPr>
                <w:rFonts w:asciiTheme="minorHAnsi" w:hAnsiTheme="minorHAnsi" w:cs="Arial"/>
                <w:color w:val="000000"/>
                <w:sz w:val="24"/>
                <w:szCs w:val="22"/>
              </w:rPr>
            </w:pPr>
            <w:r w:rsidRPr="00D85581">
              <w:rPr>
                <w:rFonts w:asciiTheme="minorHAnsi" w:hAnsiTheme="minorHAnsi" w:cs="Arial"/>
                <w:color w:val="000000"/>
                <w:sz w:val="24"/>
                <w:szCs w:val="22"/>
              </w:rPr>
              <w:t>The familiar formula with its 15%, 20% and 25% levies on net income.</w:t>
            </w:r>
          </w:p>
        </w:tc>
        <w:tc>
          <w:tcPr>
            <w:tcW w:w="5386" w:type="dxa"/>
          </w:tcPr>
          <w:p w:rsidR="00581CB7" w:rsidRPr="00D85581" w:rsidRDefault="00581CB7" w:rsidP="00475210">
            <w:pPr>
              <w:autoSpaceDE w:val="0"/>
              <w:autoSpaceDN w:val="0"/>
              <w:adjustRightInd w:val="0"/>
              <w:jc w:val="both"/>
              <w:rPr>
                <w:rFonts w:asciiTheme="minorHAnsi" w:hAnsiTheme="minorHAnsi" w:cs="Arial"/>
                <w:color w:val="000000"/>
                <w:sz w:val="24"/>
                <w:szCs w:val="22"/>
              </w:rPr>
            </w:pPr>
            <w:r w:rsidRPr="00D85581">
              <w:rPr>
                <w:rFonts w:asciiTheme="minorHAnsi" w:hAnsiTheme="minorHAnsi" w:cs="Arial"/>
                <w:color w:val="000000"/>
                <w:sz w:val="24"/>
                <w:szCs w:val="22"/>
              </w:rPr>
              <w:t xml:space="preserve">Levies on gross income targeting roughly the same out-turn (so </w:t>
            </w:r>
            <w:r w:rsidR="00475210" w:rsidRPr="00D85581">
              <w:rPr>
                <w:rFonts w:asciiTheme="minorHAnsi" w:hAnsiTheme="minorHAnsi" w:cs="Arial"/>
                <w:color w:val="000000"/>
                <w:sz w:val="24"/>
                <w:szCs w:val="22"/>
              </w:rPr>
              <w:t xml:space="preserve">requiring a </w:t>
            </w:r>
            <w:r w:rsidRPr="00D85581">
              <w:rPr>
                <w:rFonts w:asciiTheme="minorHAnsi" w:hAnsiTheme="minorHAnsi" w:cs="Arial"/>
                <w:color w:val="000000"/>
                <w:sz w:val="24"/>
                <w:szCs w:val="22"/>
              </w:rPr>
              <w:t xml:space="preserve">lower </w:t>
            </w:r>
            <w:r w:rsidR="00475210" w:rsidRPr="00D85581">
              <w:rPr>
                <w:rFonts w:asciiTheme="minorHAnsi" w:hAnsiTheme="minorHAnsi" w:cs="Arial"/>
                <w:color w:val="000000"/>
                <w:sz w:val="24"/>
                <w:szCs w:val="22"/>
              </w:rPr>
              <w:t>% and a</w:t>
            </w:r>
            <w:r w:rsidRPr="00D85581">
              <w:rPr>
                <w:rFonts w:asciiTheme="minorHAnsi" w:hAnsiTheme="minorHAnsi" w:cs="Arial"/>
                <w:color w:val="000000"/>
                <w:sz w:val="24"/>
                <w:szCs w:val="22"/>
              </w:rPr>
              <w:t xml:space="preserve"> step to </w:t>
            </w:r>
            <w:r w:rsidR="00475210" w:rsidRPr="00D85581">
              <w:rPr>
                <w:rFonts w:asciiTheme="minorHAnsi" w:hAnsiTheme="minorHAnsi" w:cs="Arial"/>
                <w:color w:val="000000"/>
                <w:sz w:val="24"/>
                <w:szCs w:val="22"/>
              </w:rPr>
              <w:t xml:space="preserve">even lower percentages </w:t>
            </w:r>
            <w:r w:rsidRPr="00D85581">
              <w:rPr>
                <w:rFonts w:asciiTheme="minorHAnsi" w:hAnsiTheme="minorHAnsi" w:cs="Arial"/>
                <w:color w:val="000000"/>
                <w:sz w:val="24"/>
                <w:szCs w:val="22"/>
              </w:rPr>
              <w:t>for income taxed at the higher rate).</w:t>
            </w:r>
            <w:r w:rsidR="007C503E">
              <w:rPr>
                <w:rFonts w:asciiTheme="minorHAnsi" w:hAnsiTheme="minorHAnsi" w:cs="Arial"/>
                <w:color w:val="000000"/>
                <w:sz w:val="24"/>
                <w:szCs w:val="22"/>
              </w:rPr>
              <w:t xml:space="preserve">  The levies tend to be higher than CS2 for higher earners.</w:t>
            </w:r>
          </w:p>
        </w:tc>
      </w:tr>
      <w:tr w:rsidR="00581CB7" w:rsidRPr="00D85581" w:rsidTr="00D85581">
        <w:tc>
          <w:tcPr>
            <w:tcW w:w="1951" w:type="dxa"/>
          </w:tcPr>
          <w:p w:rsidR="00581CB7" w:rsidRPr="00D85581" w:rsidRDefault="00581CB7" w:rsidP="00581CB7">
            <w:pPr>
              <w:autoSpaceDE w:val="0"/>
              <w:autoSpaceDN w:val="0"/>
              <w:adjustRightInd w:val="0"/>
              <w:jc w:val="both"/>
              <w:rPr>
                <w:rFonts w:asciiTheme="minorHAnsi" w:hAnsiTheme="minorHAnsi" w:cs="Arial"/>
                <w:b/>
                <w:i/>
                <w:color w:val="000000"/>
                <w:sz w:val="24"/>
                <w:szCs w:val="22"/>
              </w:rPr>
            </w:pPr>
            <w:r w:rsidRPr="00D85581">
              <w:rPr>
                <w:rFonts w:asciiTheme="minorHAnsi" w:hAnsiTheme="minorHAnsi" w:cs="Arial"/>
                <w:b/>
                <w:i/>
                <w:color w:val="000000"/>
                <w:sz w:val="24"/>
                <w:szCs w:val="22"/>
              </w:rPr>
              <w:t>Access</w:t>
            </w:r>
          </w:p>
        </w:tc>
        <w:tc>
          <w:tcPr>
            <w:tcW w:w="3686" w:type="dxa"/>
          </w:tcPr>
          <w:p w:rsidR="00581CB7" w:rsidRPr="00D85581" w:rsidRDefault="00581CB7" w:rsidP="00581CB7">
            <w:pPr>
              <w:autoSpaceDE w:val="0"/>
              <w:autoSpaceDN w:val="0"/>
              <w:adjustRightInd w:val="0"/>
              <w:jc w:val="both"/>
              <w:rPr>
                <w:rFonts w:asciiTheme="minorHAnsi" w:hAnsiTheme="minorHAnsi" w:cs="Arial"/>
                <w:color w:val="000000"/>
                <w:sz w:val="24"/>
                <w:szCs w:val="22"/>
              </w:rPr>
            </w:pPr>
            <w:r w:rsidRPr="00D85581">
              <w:rPr>
                <w:rFonts w:asciiTheme="minorHAnsi" w:hAnsiTheme="minorHAnsi" w:cs="Arial"/>
                <w:color w:val="000000"/>
                <w:sz w:val="24"/>
                <w:szCs w:val="22"/>
              </w:rPr>
              <w:t xml:space="preserve">Government aimed to take on all child support arrangements – an idea abandoned by </w:t>
            </w:r>
            <w:r w:rsidR="001458C8" w:rsidRPr="00D85581">
              <w:rPr>
                <w:rFonts w:asciiTheme="minorHAnsi" w:hAnsiTheme="minorHAnsi" w:cs="Arial"/>
                <w:color w:val="000000"/>
                <w:sz w:val="24"/>
                <w:szCs w:val="22"/>
              </w:rPr>
              <w:t>1995</w:t>
            </w:r>
          </w:p>
        </w:tc>
        <w:tc>
          <w:tcPr>
            <w:tcW w:w="4536" w:type="dxa"/>
          </w:tcPr>
          <w:p w:rsidR="00D85581" w:rsidRPr="00D85581" w:rsidRDefault="00581CB7" w:rsidP="00D85581">
            <w:pPr>
              <w:autoSpaceDE w:val="0"/>
              <w:autoSpaceDN w:val="0"/>
              <w:adjustRightInd w:val="0"/>
              <w:jc w:val="both"/>
              <w:rPr>
                <w:rFonts w:asciiTheme="minorHAnsi" w:hAnsiTheme="minorHAnsi" w:cs="Arial"/>
                <w:color w:val="000000"/>
                <w:sz w:val="24"/>
                <w:szCs w:val="22"/>
              </w:rPr>
            </w:pPr>
            <w:r w:rsidRPr="00D85581">
              <w:rPr>
                <w:rFonts w:asciiTheme="minorHAnsi" w:hAnsiTheme="minorHAnsi" w:cs="Arial"/>
                <w:color w:val="000000"/>
                <w:sz w:val="24"/>
                <w:szCs w:val="22"/>
              </w:rPr>
              <w:t>Available to all</w:t>
            </w:r>
            <w:r w:rsidR="00D85581" w:rsidRPr="00D85581">
              <w:rPr>
                <w:rFonts w:asciiTheme="minorHAnsi" w:hAnsiTheme="minorHAnsi" w:cs="Arial"/>
                <w:color w:val="000000"/>
                <w:sz w:val="24"/>
                <w:szCs w:val="22"/>
              </w:rPr>
              <w:t xml:space="preserve">.  </w:t>
            </w:r>
          </w:p>
          <w:p w:rsidR="00581CB7" w:rsidRPr="00D85581" w:rsidRDefault="00D85581" w:rsidP="00D85581">
            <w:pPr>
              <w:autoSpaceDE w:val="0"/>
              <w:autoSpaceDN w:val="0"/>
              <w:adjustRightInd w:val="0"/>
              <w:jc w:val="both"/>
              <w:rPr>
                <w:rFonts w:asciiTheme="minorHAnsi" w:hAnsiTheme="minorHAnsi" w:cs="Arial"/>
                <w:color w:val="000000"/>
                <w:sz w:val="24"/>
                <w:szCs w:val="22"/>
              </w:rPr>
            </w:pPr>
            <w:r w:rsidRPr="00D85581">
              <w:rPr>
                <w:rFonts w:asciiTheme="minorHAnsi" w:hAnsiTheme="minorHAnsi" w:cs="Arial"/>
                <w:color w:val="000000"/>
                <w:sz w:val="24"/>
                <w:szCs w:val="22"/>
              </w:rPr>
              <w:t>P</w:t>
            </w:r>
            <w:r w:rsidR="001458C8" w:rsidRPr="00D85581">
              <w:rPr>
                <w:rFonts w:asciiTheme="minorHAnsi" w:hAnsiTheme="minorHAnsi" w:cs="Arial"/>
                <w:color w:val="000000"/>
                <w:sz w:val="24"/>
                <w:szCs w:val="22"/>
              </w:rPr>
              <w:t xml:space="preserve">ost Henshaw, </w:t>
            </w:r>
            <w:r w:rsidR="00581CB7" w:rsidRPr="00D85581">
              <w:rPr>
                <w:rFonts w:asciiTheme="minorHAnsi" w:hAnsiTheme="minorHAnsi" w:cs="Arial"/>
                <w:color w:val="000000"/>
                <w:sz w:val="24"/>
                <w:szCs w:val="22"/>
              </w:rPr>
              <w:t>encouragement to reach own agreements</w:t>
            </w:r>
            <w:r w:rsidRPr="00D85581">
              <w:rPr>
                <w:rFonts w:asciiTheme="minorHAnsi" w:hAnsiTheme="minorHAnsi" w:cs="Arial"/>
                <w:color w:val="000000"/>
                <w:sz w:val="24"/>
                <w:szCs w:val="22"/>
              </w:rPr>
              <w:t xml:space="preserve">; launch </w:t>
            </w:r>
            <w:r w:rsidR="00581CB7" w:rsidRPr="00D85581">
              <w:rPr>
                <w:rFonts w:asciiTheme="minorHAnsi" w:hAnsiTheme="minorHAnsi" w:cs="Arial"/>
                <w:color w:val="000000"/>
                <w:sz w:val="24"/>
                <w:szCs w:val="22"/>
              </w:rPr>
              <w:t>CM Options service</w:t>
            </w:r>
          </w:p>
        </w:tc>
        <w:tc>
          <w:tcPr>
            <w:tcW w:w="5386" w:type="dxa"/>
          </w:tcPr>
          <w:p w:rsidR="00581CB7" w:rsidRPr="00D85581" w:rsidRDefault="007C503E" w:rsidP="007C503E">
            <w:pPr>
              <w:autoSpaceDE w:val="0"/>
              <w:autoSpaceDN w:val="0"/>
              <w:adjustRightInd w:val="0"/>
              <w:jc w:val="both"/>
              <w:rPr>
                <w:rFonts w:asciiTheme="minorHAnsi" w:hAnsiTheme="minorHAnsi" w:cs="Arial"/>
                <w:color w:val="000000"/>
                <w:sz w:val="24"/>
                <w:szCs w:val="22"/>
              </w:rPr>
            </w:pPr>
            <w:r>
              <w:rPr>
                <w:rFonts w:asciiTheme="minorHAnsi" w:hAnsiTheme="minorHAnsi" w:cs="Arial"/>
                <w:color w:val="000000"/>
                <w:sz w:val="24"/>
                <w:szCs w:val="22"/>
              </w:rPr>
              <w:t>Volte face from CS1 – now d</w:t>
            </w:r>
            <w:r w:rsidR="00581CB7" w:rsidRPr="00D85581">
              <w:rPr>
                <w:rFonts w:asciiTheme="minorHAnsi" w:hAnsiTheme="minorHAnsi" w:cs="Arial"/>
                <w:color w:val="000000"/>
                <w:sz w:val="24"/>
                <w:szCs w:val="22"/>
              </w:rPr>
              <w:t>iscouragement from using the state scheme with a gateway system and f</w:t>
            </w:r>
            <w:r>
              <w:rPr>
                <w:rFonts w:asciiTheme="minorHAnsi" w:hAnsiTheme="minorHAnsi" w:cs="Arial"/>
                <w:color w:val="000000"/>
                <w:sz w:val="24"/>
                <w:szCs w:val="22"/>
              </w:rPr>
              <w:t>*</w:t>
            </w:r>
            <w:r w:rsidR="00581CB7" w:rsidRPr="00D85581">
              <w:rPr>
                <w:rFonts w:asciiTheme="minorHAnsi" w:hAnsiTheme="minorHAnsi" w:cs="Arial"/>
                <w:color w:val="000000"/>
                <w:sz w:val="24"/>
                <w:szCs w:val="22"/>
              </w:rPr>
              <w:t>ees</w:t>
            </w:r>
            <w:r w:rsidR="00475210" w:rsidRPr="00D85581">
              <w:rPr>
                <w:rFonts w:asciiTheme="minorHAnsi" w:hAnsiTheme="minorHAnsi" w:cs="Arial"/>
                <w:color w:val="000000"/>
                <w:sz w:val="24"/>
                <w:szCs w:val="22"/>
              </w:rPr>
              <w:t>.</w:t>
            </w:r>
          </w:p>
        </w:tc>
      </w:tr>
      <w:tr w:rsidR="00581CB7" w:rsidRPr="00D85581" w:rsidTr="00D85581">
        <w:tc>
          <w:tcPr>
            <w:tcW w:w="1951" w:type="dxa"/>
          </w:tcPr>
          <w:p w:rsidR="00581CB7" w:rsidRPr="00D85581" w:rsidRDefault="00581CB7" w:rsidP="00475210">
            <w:pPr>
              <w:autoSpaceDE w:val="0"/>
              <w:autoSpaceDN w:val="0"/>
              <w:adjustRightInd w:val="0"/>
              <w:jc w:val="both"/>
              <w:rPr>
                <w:rFonts w:asciiTheme="minorHAnsi" w:hAnsiTheme="minorHAnsi" w:cs="Arial"/>
                <w:b/>
                <w:i/>
                <w:color w:val="000000"/>
                <w:sz w:val="24"/>
                <w:szCs w:val="22"/>
              </w:rPr>
            </w:pPr>
            <w:r w:rsidRPr="00D85581">
              <w:rPr>
                <w:rFonts w:asciiTheme="minorHAnsi" w:hAnsiTheme="minorHAnsi" w:cs="Arial"/>
                <w:b/>
                <w:i/>
                <w:color w:val="000000"/>
                <w:sz w:val="24"/>
                <w:szCs w:val="22"/>
              </w:rPr>
              <w:t>Discretionary overlay</w:t>
            </w:r>
          </w:p>
        </w:tc>
        <w:tc>
          <w:tcPr>
            <w:tcW w:w="3686" w:type="dxa"/>
          </w:tcPr>
          <w:p w:rsidR="00581CB7" w:rsidRPr="00D85581" w:rsidRDefault="00581CB7" w:rsidP="00581CB7">
            <w:pPr>
              <w:autoSpaceDE w:val="0"/>
              <w:autoSpaceDN w:val="0"/>
              <w:adjustRightInd w:val="0"/>
              <w:jc w:val="both"/>
              <w:rPr>
                <w:rFonts w:asciiTheme="minorHAnsi" w:hAnsiTheme="minorHAnsi" w:cs="Arial"/>
                <w:color w:val="000000"/>
                <w:sz w:val="24"/>
                <w:szCs w:val="22"/>
              </w:rPr>
            </w:pPr>
            <w:r w:rsidRPr="00D85581">
              <w:rPr>
                <w:rFonts w:asciiTheme="minorHAnsi" w:hAnsiTheme="minorHAnsi" w:cs="Arial"/>
                <w:color w:val="000000"/>
                <w:sz w:val="24"/>
                <w:szCs w:val="22"/>
              </w:rPr>
              <w:t xml:space="preserve">None until the </w:t>
            </w:r>
            <w:r w:rsidR="00D85581" w:rsidRPr="00D85581">
              <w:rPr>
                <w:rFonts w:asciiTheme="minorHAnsi" w:hAnsiTheme="minorHAnsi" w:cs="Arial"/>
                <w:color w:val="000000"/>
                <w:sz w:val="24"/>
                <w:szCs w:val="22"/>
              </w:rPr>
              <w:t>‘</w:t>
            </w:r>
            <w:r w:rsidRPr="00D85581">
              <w:rPr>
                <w:rFonts w:asciiTheme="minorHAnsi" w:hAnsiTheme="minorHAnsi" w:cs="Arial"/>
                <w:color w:val="000000"/>
                <w:sz w:val="24"/>
                <w:szCs w:val="22"/>
              </w:rPr>
              <w:t>departures</w:t>
            </w:r>
            <w:r w:rsidR="00D85581" w:rsidRPr="00D85581">
              <w:rPr>
                <w:rFonts w:asciiTheme="minorHAnsi" w:hAnsiTheme="minorHAnsi" w:cs="Arial"/>
                <w:color w:val="000000"/>
                <w:sz w:val="24"/>
                <w:szCs w:val="22"/>
              </w:rPr>
              <w:t>’</w:t>
            </w:r>
            <w:r w:rsidRPr="00D85581">
              <w:rPr>
                <w:rFonts w:asciiTheme="minorHAnsi" w:hAnsiTheme="minorHAnsi" w:cs="Arial"/>
                <w:color w:val="000000"/>
                <w:sz w:val="24"/>
                <w:szCs w:val="22"/>
              </w:rPr>
              <w:t xml:space="preserve"> scheme went live </w:t>
            </w:r>
            <w:r w:rsidR="00D85581" w:rsidRPr="00D85581">
              <w:rPr>
                <w:rFonts w:asciiTheme="minorHAnsi" w:hAnsiTheme="minorHAnsi" w:cs="Arial"/>
                <w:color w:val="000000"/>
                <w:sz w:val="24"/>
                <w:szCs w:val="22"/>
              </w:rPr>
              <w:t>in 1995</w:t>
            </w:r>
          </w:p>
        </w:tc>
        <w:tc>
          <w:tcPr>
            <w:tcW w:w="4536" w:type="dxa"/>
          </w:tcPr>
          <w:p w:rsidR="00581CB7" w:rsidRPr="00D85581" w:rsidRDefault="00581CB7" w:rsidP="00D85581">
            <w:pPr>
              <w:autoSpaceDE w:val="0"/>
              <w:autoSpaceDN w:val="0"/>
              <w:adjustRightInd w:val="0"/>
              <w:jc w:val="both"/>
              <w:rPr>
                <w:rFonts w:asciiTheme="minorHAnsi" w:hAnsiTheme="minorHAnsi" w:cs="Arial"/>
                <w:color w:val="000000"/>
                <w:sz w:val="24"/>
                <w:szCs w:val="22"/>
              </w:rPr>
            </w:pPr>
            <w:r w:rsidRPr="00D85581">
              <w:rPr>
                <w:rFonts w:asciiTheme="minorHAnsi" w:hAnsiTheme="minorHAnsi" w:cs="Arial"/>
                <w:color w:val="000000"/>
                <w:sz w:val="24"/>
                <w:szCs w:val="22"/>
              </w:rPr>
              <w:t>A narrower range of gateways</w:t>
            </w:r>
            <w:r w:rsidR="00D85581" w:rsidRPr="00D85581">
              <w:rPr>
                <w:rFonts w:asciiTheme="minorHAnsi" w:hAnsiTheme="minorHAnsi" w:cs="Arial"/>
                <w:color w:val="000000"/>
                <w:sz w:val="24"/>
                <w:szCs w:val="22"/>
              </w:rPr>
              <w:t xml:space="preserve">, </w:t>
            </w:r>
            <w:r w:rsidR="007C503E">
              <w:rPr>
                <w:rFonts w:asciiTheme="minorHAnsi" w:hAnsiTheme="minorHAnsi" w:cs="Arial"/>
                <w:color w:val="000000"/>
                <w:sz w:val="24"/>
                <w:szCs w:val="22"/>
              </w:rPr>
              <w:t xml:space="preserve">renamed </w:t>
            </w:r>
            <w:r w:rsidRPr="00D85581">
              <w:rPr>
                <w:rFonts w:asciiTheme="minorHAnsi" w:hAnsiTheme="minorHAnsi" w:cs="Arial"/>
                <w:color w:val="000000"/>
                <w:sz w:val="24"/>
                <w:szCs w:val="22"/>
              </w:rPr>
              <w:t>“variations”</w:t>
            </w:r>
          </w:p>
        </w:tc>
        <w:tc>
          <w:tcPr>
            <w:tcW w:w="5386" w:type="dxa"/>
          </w:tcPr>
          <w:p w:rsidR="00581CB7" w:rsidRPr="00D85581" w:rsidRDefault="00581CB7" w:rsidP="007C503E">
            <w:pPr>
              <w:autoSpaceDE w:val="0"/>
              <w:autoSpaceDN w:val="0"/>
              <w:adjustRightInd w:val="0"/>
              <w:jc w:val="both"/>
              <w:rPr>
                <w:rFonts w:asciiTheme="minorHAnsi" w:hAnsiTheme="minorHAnsi" w:cs="Arial"/>
                <w:color w:val="000000"/>
                <w:sz w:val="24"/>
                <w:szCs w:val="22"/>
              </w:rPr>
            </w:pPr>
            <w:r w:rsidRPr="007C503E">
              <w:rPr>
                <w:rFonts w:asciiTheme="minorHAnsi" w:hAnsiTheme="minorHAnsi" w:cs="Arial"/>
                <w:color w:val="000000"/>
                <w:sz w:val="22"/>
                <w:szCs w:val="22"/>
              </w:rPr>
              <w:t>Variation categories further reduced</w:t>
            </w:r>
            <w:r w:rsidR="007C503E" w:rsidRPr="007C503E">
              <w:rPr>
                <w:rFonts w:asciiTheme="minorHAnsi" w:hAnsiTheme="minorHAnsi" w:cs="Arial"/>
                <w:color w:val="000000"/>
                <w:sz w:val="22"/>
                <w:szCs w:val="22"/>
              </w:rPr>
              <w:t>: significantly “underused assets” and “lifestyle inconsistent” eliminated.</w:t>
            </w:r>
          </w:p>
        </w:tc>
      </w:tr>
      <w:tr w:rsidR="001B5F91" w:rsidRPr="00D85581" w:rsidTr="00D85581">
        <w:tc>
          <w:tcPr>
            <w:tcW w:w="1951" w:type="dxa"/>
          </w:tcPr>
          <w:p w:rsidR="001B5F91" w:rsidRPr="00D85581" w:rsidRDefault="001B5F91" w:rsidP="00581CB7">
            <w:pPr>
              <w:autoSpaceDE w:val="0"/>
              <w:autoSpaceDN w:val="0"/>
              <w:adjustRightInd w:val="0"/>
              <w:jc w:val="both"/>
              <w:rPr>
                <w:rFonts w:cs="Arial"/>
                <w:b/>
                <w:i/>
                <w:color w:val="000000"/>
                <w:sz w:val="24"/>
              </w:rPr>
            </w:pPr>
            <w:r w:rsidRPr="00D85581">
              <w:rPr>
                <w:rFonts w:cs="Arial"/>
                <w:b/>
                <w:i/>
                <w:color w:val="000000"/>
                <w:sz w:val="24"/>
              </w:rPr>
              <w:t>Review</w:t>
            </w:r>
            <w:r w:rsidR="008A640C" w:rsidRPr="00D85581">
              <w:rPr>
                <w:rFonts w:cs="Arial"/>
                <w:b/>
                <w:i/>
                <w:color w:val="000000"/>
                <w:sz w:val="24"/>
              </w:rPr>
              <w:t>s (“supersessions”)</w:t>
            </w:r>
          </w:p>
        </w:tc>
        <w:tc>
          <w:tcPr>
            <w:tcW w:w="3686" w:type="dxa"/>
          </w:tcPr>
          <w:p w:rsidR="001B5F91" w:rsidRPr="00D85581" w:rsidRDefault="001B5F91" w:rsidP="00581CB7">
            <w:pPr>
              <w:autoSpaceDE w:val="0"/>
              <w:autoSpaceDN w:val="0"/>
              <w:adjustRightInd w:val="0"/>
              <w:jc w:val="both"/>
              <w:rPr>
                <w:rFonts w:asciiTheme="minorHAnsi" w:hAnsiTheme="minorHAnsi" w:cs="Arial"/>
                <w:color w:val="000000"/>
                <w:sz w:val="24"/>
                <w:szCs w:val="22"/>
              </w:rPr>
            </w:pPr>
            <w:r w:rsidRPr="00D85581">
              <w:rPr>
                <w:rFonts w:asciiTheme="minorHAnsi" w:hAnsiTheme="minorHAnsi" w:cs="Arial"/>
                <w:color w:val="000000"/>
                <w:sz w:val="24"/>
                <w:szCs w:val="22"/>
              </w:rPr>
              <w:t>Annual reviews planned (and abandoned)</w:t>
            </w:r>
          </w:p>
        </w:tc>
        <w:tc>
          <w:tcPr>
            <w:tcW w:w="4536" w:type="dxa"/>
          </w:tcPr>
          <w:p w:rsidR="001B5F91" w:rsidRPr="00D85581" w:rsidRDefault="001B5F91" w:rsidP="00581CB7">
            <w:pPr>
              <w:autoSpaceDE w:val="0"/>
              <w:autoSpaceDN w:val="0"/>
              <w:adjustRightInd w:val="0"/>
              <w:jc w:val="both"/>
              <w:rPr>
                <w:rFonts w:asciiTheme="minorHAnsi" w:hAnsiTheme="minorHAnsi" w:cs="Arial"/>
                <w:color w:val="000000"/>
                <w:sz w:val="24"/>
                <w:szCs w:val="22"/>
              </w:rPr>
            </w:pPr>
            <w:r w:rsidRPr="00D85581">
              <w:rPr>
                <w:rFonts w:asciiTheme="minorHAnsi" w:hAnsiTheme="minorHAnsi" w:cs="Arial"/>
                <w:color w:val="000000"/>
                <w:sz w:val="24"/>
                <w:szCs w:val="22"/>
              </w:rPr>
              <w:t xml:space="preserve">Reviews only upon request </w:t>
            </w:r>
          </w:p>
        </w:tc>
        <w:tc>
          <w:tcPr>
            <w:tcW w:w="5386" w:type="dxa"/>
          </w:tcPr>
          <w:p w:rsidR="001B5F91" w:rsidRPr="00D85581" w:rsidRDefault="00475210" w:rsidP="00581CB7">
            <w:pPr>
              <w:autoSpaceDE w:val="0"/>
              <w:autoSpaceDN w:val="0"/>
              <w:adjustRightInd w:val="0"/>
              <w:jc w:val="both"/>
              <w:rPr>
                <w:rFonts w:asciiTheme="minorHAnsi" w:hAnsiTheme="minorHAnsi" w:cs="Arial"/>
                <w:color w:val="000000"/>
                <w:sz w:val="24"/>
                <w:szCs w:val="22"/>
              </w:rPr>
            </w:pPr>
            <w:r w:rsidRPr="00D85581">
              <w:rPr>
                <w:rFonts w:asciiTheme="minorHAnsi" w:hAnsiTheme="minorHAnsi" w:cs="Arial"/>
                <w:color w:val="000000"/>
                <w:sz w:val="24"/>
                <w:szCs w:val="22"/>
              </w:rPr>
              <w:t xml:space="preserve">Intended for </w:t>
            </w:r>
            <w:r w:rsidR="008A640C" w:rsidRPr="00D85581">
              <w:rPr>
                <w:rFonts w:asciiTheme="minorHAnsi" w:hAnsiTheme="minorHAnsi" w:cs="Arial"/>
                <w:color w:val="000000"/>
                <w:sz w:val="24"/>
                <w:szCs w:val="22"/>
              </w:rPr>
              <w:t>ach anniversary</w:t>
            </w:r>
          </w:p>
          <w:p w:rsidR="008A640C" w:rsidRPr="00D85581" w:rsidRDefault="00475210" w:rsidP="00475210">
            <w:pPr>
              <w:autoSpaceDE w:val="0"/>
              <w:autoSpaceDN w:val="0"/>
              <w:adjustRightInd w:val="0"/>
              <w:jc w:val="both"/>
              <w:rPr>
                <w:rFonts w:asciiTheme="minorHAnsi" w:hAnsiTheme="minorHAnsi" w:cs="Arial"/>
                <w:color w:val="000000"/>
                <w:sz w:val="24"/>
                <w:szCs w:val="22"/>
              </w:rPr>
            </w:pPr>
            <w:r w:rsidRPr="00D85581">
              <w:rPr>
                <w:rFonts w:asciiTheme="minorHAnsi" w:hAnsiTheme="minorHAnsi" w:cs="Arial"/>
                <w:color w:val="000000"/>
                <w:sz w:val="24"/>
                <w:szCs w:val="22"/>
              </w:rPr>
              <w:t xml:space="preserve">Mid-year changes discouraged by a </w:t>
            </w:r>
            <w:r w:rsidR="008A640C" w:rsidRPr="00D85581">
              <w:rPr>
                <w:rFonts w:asciiTheme="minorHAnsi" w:hAnsiTheme="minorHAnsi" w:cs="Arial"/>
                <w:color w:val="000000"/>
                <w:sz w:val="24"/>
                <w:szCs w:val="22"/>
              </w:rPr>
              <w:t xml:space="preserve">25% </w:t>
            </w:r>
            <w:r w:rsidRPr="00D85581">
              <w:rPr>
                <w:rFonts w:asciiTheme="minorHAnsi" w:hAnsiTheme="minorHAnsi" w:cs="Arial"/>
                <w:color w:val="000000"/>
                <w:sz w:val="24"/>
                <w:szCs w:val="22"/>
              </w:rPr>
              <w:t>threshold.</w:t>
            </w:r>
          </w:p>
        </w:tc>
      </w:tr>
      <w:tr w:rsidR="00581CB7" w:rsidRPr="00D85581" w:rsidTr="00D85581">
        <w:tc>
          <w:tcPr>
            <w:tcW w:w="1951" w:type="dxa"/>
          </w:tcPr>
          <w:p w:rsidR="00581CB7" w:rsidRPr="00D85581" w:rsidRDefault="00581CB7" w:rsidP="00581CB7">
            <w:pPr>
              <w:autoSpaceDE w:val="0"/>
              <w:autoSpaceDN w:val="0"/>
              <w:adjustRightInd w:val="0"/>
              <w:jc w:val="both"/>
              <w:rPr>
                <w:rFonts w:asciiTheme="minorHAnsi" w:hAnsiTheme="minorHAnsi" w:cs="Arial"/>
                <w:b/>
                <w:i/>
                <w:color w:val="000000"/>
                <w:sz w:val="24"/>
                <w:szCs w:val="22"/>
              </w:rPr>
            </w:pPr>
            <w:r w:rsidRPr="00D85581">
              <w:rPr>
                <w:rFonts w:asciiTheme="minorHAnsi" w:hAnsiTheme="minorHAnsi" w:cs="Arial"/>
                <w:b/>
                <w:i/>
                <w:color w:val="000000"/>
                <w:sz w:val="24"/>
                <w:szCs w:val="22"/>
              </w:rPr>
              <w:t>Fees</w:t>
            </w:r>
          </w:p>
        </w:tc>
        <w:tc>
          <w:tcPr>
            <w:tcW w:w="3686" w:type="dxa"/>
          </w:tcPr>
          <w:p w:rsidR="00581CB7" w:rsidRPr="00D85581" w:rsidRDefault="008A640C" w:rsidP="007C503E">
            <w:pPr>
              <w:autoSpaceDE w:val="0"/>
              <w:autoSpaceDN w:val="0"/>
              <w:adjustRightInd w:val="0"/>
              <w:jc w:val="both"/>
              <w:rPr>
                <w:rFonts w:asciiTheme="minorHAnsi" w:hAnsiTheme="minorHAnsi" w:cs="Arial"/>
                <w:color w:val="000000"/>
                <w:sz w:val="24"/>
                <w:szCs w:val="22"/>
              </w:rPr>
            </w:pPr>
            <w:r w:rsidRPr="00D85581">
              <w:rPr>
                <w:rFonts w:asciiTheme="minorHAnsi" w:hAnsiTheme="minorHAnsi" w:cs="Arial"/>
                <w:color w:val="000000"/>
                <w:sz w:val="24"/>
                <w:szCs w:val="22"/>
              </w:rPr>
              <w:t>£44 charged till abandoned i</w:t>
            </w:r>
            <w:r w:rsidR="009351ED" w:rsidRPr="00D85581">
              <w:rPr>
                <w:rFonts w:asciiTheme="minorHAnsi" w:hAnsiTheme="minorHAnsi" w:cs="Arial"/>
                <w:color w:val="000000"/>
                <w:sz w:val="24"/>
                <w:szCs w:val="22"/>
              </w:rPr>
              <w:t>n</w:t>
            </w:r>
            <w:r w:rsidRPr="00D85581">
              <w:rPr>
                <w:rFonts w:asciiTheme="minorHAnsi" w:hAnsiTheme="minorHAnsi" w:cs="Arial"/>
                <w:color w:val="000000"/>
                <w:sz w:val="24"/>
                <w:szCs w:val="22"/>
              </w:rPr>
              <w:t xml:space="preserve"> 1995</w:t>
            </w:r>
            <w:r w:rsidR="00581CB7" w:rsidRPr="00D85581">
              <w:rPr>
                <w:rFonts w:asciiTheme="minorHAnsi" w:hAnsiTheme="minorHAnsi" w:cs="Arial"/>
                <w:color w:val="000000"/>
                <w:sz w:val="24"/>
                <w:szCs w:val="22"/>
              </w:rPr>
              <w:t xml:space="preserve"> in the criticism raised about the Agency’s performance.</w:t>
            </w:r>
          </w:p>
        </w:tc>
        <w:tc>
          <w:tcPr>
            <w:tcW w:w="4536" w:type="dxa"/>
          </w:tcPr>
          <w:p w:rsidR="00581CB7" w:rsidRPr="00D85581" w:rsidRDefault="00581CB7" w:rsidP="00581CB7">
            <w:pPr>
              <w:autoSpaceDE w:val="0"/>
              <w:autoSpaceDN w:val="0"/>
              <w:adjustRightInd w:val="0"/>
              <w:jc w:val="both"/>
              <w:rPr>
                <w:rFonts w:asciiTheme="minorHAnsi" w:hAnsiTheme="minorHAnsi" w:cs="Arial"/>
                <w:color w:val="000000"/>
                <w:sz w:val="24"/>
                <w:szCs w:val="22"/>
              </w:rPr>
            </w:pPr>
            <w:r w:rsidRPr="00D85581">
              <w:rPr>
                <w:rFonts w:asciiTheme="minorHAnsi" w:hAnsiTheme="minorHAnsi" w:cs="Arial"/>
                <w:color w:val="000000"/>
                <w:sz w:val="24"/>
                <w:szCs w:val="22"/>
              </w:rPr>
              <w:t>Never really in contention.</w:t>
            </w:r>
          </w:p>
        </w:tc>
        <w:tc>
          <w:tcPr>
            <w:tcW w:w="5386" w:type="dxa"/>
          </w:tcPr>
          <w:p w:rsidR="00475210" w:rsidRPr="00D85581" w:rsidRDefault="00475210" w:rsidP="00581CB7">
            <w:pPr>
              <w:autoSpaceDE w:val="0"/>
              <w:autoSpaceDN w:val="0"/>
              <w:adjustRightInd w:val="0"/>
              <w:jc w:val="both"/>
              <w:rPr>
                <w:rFonts w:asciiTheme="minorHAnsi" w:hAnsiTheme="minorHAnsi" w:cs="Arial"/>
                <w:color w:val="000000"/>
                <w:sz w:val="24"/>
                <w:szCs w:val="22"/>
              </w:rPr>
            </w:pPr>
            <w:r w:rsidRPr="00D85581">
              <w:rPr>
                <w:rFonts w:asciiTheme="minorHAnsi" w:hAnsiTheme="minorHAnsi" w:cs="Arial"/>
                <w:color w:val="000000"/>
                <w:sz w:val="24"/>
                <w:szCs w:val="22"/>
              </w:rPr>
              <w:t>£20 to access</w:t>
            </w:r>
          </w:p>
          <w:p w:rsidR="00475210" w:rsidRPr="00D85581" w:rsidRDefault="00475210" w:rsidP="00581CB7">
            <w:pPr>
              <w:autoSpaceDE w:val="0"/>
              <w:autoSpaceDN w:val="0"/>
              <w:adjustRightInd w:val="0"/>
              <w:jc w:val="both"/>
              <w:rPr>
                <w:rFonts w:asciiTheme="minorHAnsi" w:hAnsiTheme="minorHAnsi" w:cs="Arial"/>
                <w:color w:val="000000"/>
                <w:sz w:val="24"/>
                <w:szCs w:val="22"/>
              </w:rPr>
            </w:pPr>
            <w:r w:rsidRPr="00D85581">
              <w:rPr>
                <w:rFonts w:asciiTheme="minorHAnsi" w:hAnsiTheme="minorHAnsi" w:cs="Arial"/>
                <w:color w:val="000000"/>
                <w:sz w:val="24"/>
                <w:szCs w:val="22"/>
              </w:rPr>
              <w:t>4% deduction for RPs; 20% handling fee for PPs</w:t>
            </w:r>
          </w:p>
          <w:p w:rsidR="00581CB7" w:rsidRPr="00D85581" w:rsidRDefault="00475210" w:rsidP="00581CB7">
            <w:pPr>
              <w:autoSpaceDE w:val="0"/>
              <w:autoSpaceDN w:val="0"/>
              <w:adjustRightInd w:val="0"/>
              <w:jc w:val="both"/>
              <w:rPr>
                <w:rFonts w:asciiTheme="minorHAnsi" w:hAnsiTheme="minorHAnsi" w:cs="Arial"/>
                <w:color w:val="000000"/>
                <w:sz w:val="24"/>
                <w:szCs w:val="22"/>
              </w:rPr>
            </w:pPr>
            <w:r w:rsidRPr="00D85581">
              <w:rPr>
                <w:rFonts w:asciiTheme="minorHAnsi" w:hAnsiTheme="minorHAnsi" w:cs="Arial"/>
                <w:color w:val="000000"/>
                <w:sz w:val="24"/>
                <w:szCs w:val="22"/>
              </w:rPr>
              <w:t>Additional charges for enforcement steps</w:t>
            </w:r>
            <w:r w:rsidR="00581CB7" w:rsidRPr="00D85581">
              <w:rPr>
                <w:rFonts w:asciiTheme="minorHAnsi" w:hAnsiTheme="minorHAnsi" w:cs="Arial"/>
                <w:color w:val="000000"/>
                <w:sz w:val="24"/>
                <w:szCs w:val="22"/>
              </w:rPr>
              <w:t xml:space="preserve"> </w:t>
            </w:r>
          </w:p>
        </w:tc>
      </w:tr>
    </w:tbl>
    <w:p w:rsidR="008A640C" w:rsidRDefault="008A640C" w:rsidP="007056E3">
      <w:pPr>
        <w:pStyle w:val="ListParagraph"/>
        <w:ind w:left="0"/>
        <w:rPr>
          <w:rFonts w:asciiTheme="minorHAnsi" w:hAnsiTheme="minorHAnsi"/>
          <w:sz w:val="22"/>
          <w:szCs w:val="22"/>
        </w:rPr>
      </w:pPr>
    </w:p>
    <w:p w:rsidR="00212B7E" w:rsidRPr="00475210" w:rsidRDefault="00212B7E" w:rsidP="00475210">
      <w:pPr>
        <w:autoSpaceDE w:val="0"/>
        <w:autoSpaceDN w:val="0"/>
        <w:adjustRightInd w:val="0"/>
        <w:jc w:val="both"/>
        <w:rPr>
          <w:rFonts w:cs="Arial"/>
          <w:color w:val="000000"/>
        </w:rPr>
      </w:pPr>
      <w:r w:rsidRPr="00475210">
        <w:rPr>
          <w:rFonts w:cs="Arial"/>
          <w:color w:val="000000"/>
        </w:rPr>
        <w:br w:type="page"/>
      </w:r>
    </w:p>
    <w:p w:rsidR="00581CB7" w:rsidRDefault="00581CB7" w:rsidP="00581CB7">
      <w:pPr>
        <w:autoSpaceDE w:val="0"/>
        <w:autoSpaceDN w:val="0"/>
        <w:adjustRightInd w:val="0"/>
        <w:jc w:val="both"/>
        <w:rPr>
          <w:rFonts w:cs="Arial"/>
          <w:color w:val="000000"/>
        </w:rPr>
      </w:pPr>
      <w:r>
        <w:rPr>
          <w:rFonts w:cs="Arial"/>
          <w:color w:val="000000"/>
        </w:rPr>
        <w:lastRenderedPageBreak/>
        <w:t>We can also set out, side by side, the main features of CS2 and the gross income formula:</w:t>
      </w:r>
    </w:p>
    <w:tbl>
      <w:tblPr>
        <w:tblStyle w:val="TableGrid"/>
        <w:tblW w:w="0" w:type="auto"/>
        <w:tblLook w:val="04A0" w:firstRow="1" w:lastRow="0" w:firstColumn="1" w:lastColumn="0" w:noHBand="0" w:noVBand="1"/>
      </w:tblPr>
      <w:tblGrid>
        <w:gridCol w:w="2802"/>
        <w:gridCol w:w="5386"/>
        <w:gridCol w:w="2268"/>
        <w:gridCol w:w="4253"/>
      </w:tblGrid>
      <w:tr w:rsidR="00581CB7" w:rsidRPr="005C44F4" w:rsidTr="008A640C">
        <w:tc>
          <w:tcPr>
            <w:tcW w:w="2802" w:type="dxa"/>
          </w:tcPr>
          <w:p w:rsidR="00581CB7" w:rsidRPr="005C44F4" w:rsidRDefault="00581CB7" w:rsidP="00581CB7">
            <w:pPr>
              <w:pStyle w:val="ListParagraph"/>
              <w:ind w:left="0"/>
              <w:jc w:val="center"/>
              <w:rPr>
                <w:rFonts w:asciiTheme="minorHAnsi" w:hAnsiTheme="minorHAnsi"/>
                <w:sz w:val="22"/>
                <w:szCs w:val="22"/>
              </w:rPr>
            </w:pPr>
          </w:p>
        </w:tc>
        <w:tc>
          <w:tcPr>
            <w:tcW w:w="5386" w:type="dxa"/>
          </w:tcPr>
          <w:p w:rsidR="00581CB7" w:rsidRPr="005C44F4" w:rsidRDefault="00581CB7" w:rsidP="00581CB7">
            <w:pPr>
              <w:pStyle w:val="ListParagraph"/>
              <w:ind w:left="0"/>
              <w:jc w:val="center"/>
              <w:rPr>
                <w:rFonts w:asciiTheme="minorHAnsi" w:hAnsiTheme="minorHAnsi"/>
                <w:sz w:val="22"/>
                <w:szCs w:val="22"/>
              </w:rPr>
            </w:pPr>
            <w:r w:rsidRPr="005C44F4">
              <w:rPr>
                <w:rFonts w:asciiTheme="minorHAnsi" w:hAnsiTheme="minorHAnsi"/>
                <w:sz w:val="22"/>
                <w:szCs w:val="22"/>
              </w:rPr>
              <w:t>Current scheme</w:t>
            </w:r>
            <w:r>
              <w:rPr>
                <w:rFonts w:asciiTheme="minorHAnsi" w:hAnsiTheme="minorHAnsi"/>
                <w:sz w:val="22"/>
                <w:szCs w:val="22"/>
              </w:rPr>
              <w:t xml:space="preserve"> (“CS2”)</w:t>
            </w:r>
          </w:p>
        </w:tc>
        <w:tc>
          <w:tcPr>
            <w:tcW w:w="6521" w:type="dxa"/>
            <w:gridSpan w:val="2"/>
          </w:tcPr>
          <w:p w:rsidR="00581CB7" w:rsidRPr="005C44F4" w:rsidRDefault="00581CB7" w:rsidP="00581CB7">
            <w:pPr>
              <w:pStyle w:val="ListParagraph"/>
              <w:ind w:left="0"/>
              <w:jc w:val="center"/>
              <w:rPr>
                <w:rFonts w:asciiTheme="minorHAnsi" w:hAnsiTheme="minorHAnsi"/>
                <w:sz w:val="22"/>
                <w:szCs w:val="22"/>
              </w:rPr>
            </w:pPr>
            <w:r w:rsidRPr="005C44F4">
              <w:rPr>
                <w:rFonts w:asciiTheme="minorHAnsi" w:hAnsiTheme="minorHAnsi"/>
                <w:sz w:val="22"/>
                <w:szCs w:val="22"/>
              </w:rPr>
              <w:t>New scheme</w:t>
            </w:r>
            <w:r>
              <w:rPr>
                <w:rFonts w:asciiTheme="minorHAnsi" w:hAnsiTheme="minorHAnsi"/>
                <w:sz w:val="22"/>
                <w:szCs w:val="22"/>
              </w:rPr>
              <w:t xml:space="preserve"> (“CS3”)</w:t>
            </w:r>
          </w:p>
        </w:tc>
      </w:tr>
      <w:tr w:rsidR="00581CB7" w:rsidRPr="005C44F4" w:rsidTr="008A640C">
        <w:tc>
          <w:tcPr>
            <w:tcW w:w="2802" w:type="dxa"/>
          </w:tcPr>
          <w:p w:rsidR="00581CB7" w:rsidRPr="005C44F4" w:rsidRDefault="00581CB7" w:rsidP="00581CB7">
            <w:pPr>
              <w:pStyle w:val="ListParagraph"/>
              <w:ind w:left="0"/>
              <w:rPr>
                <w:rFonts w:asciiTheme="minorHAnsi" w:hAnsiTheme="minorHAnsi"/>
                <w:b/>
                <w:sz w:val="22"/>
                <w:szCs w:val="22"/>
              </w:rPr>
            </w:pPr>
            <w:r w:rsidRPr="005C44F4">
              <w:rPr>
                <w:rFonts w:asciiTheme="minorHAnsi" w:hAnsiTheme="minorHAnsi"/>
                <w:b/>
                <w:sz w:val="22"/>
                <w:szCs w:val="22"/>
              </w:rPr>
              <w:t>Income</w:t>
            </w:r>
          </w:p>
        </w:tc>
        <w:tc>
          <w:tcPr>
            <w:tcW w:w="5386" w:type="dxa"/>
          </w:tcPr>
          <w:p w:rsidR="00581CB7" w:rsidRPr="005C44F4" w:rsidRDefault="00581CB7" w:rsidP="00581CB7">
            <w:pPr>
              <w:pStyle w:val="ListParagraph"/>
              <w:ind w:left="0"/>
              <w:rPr>
                <w:rFonts w:asciiTheme="minorHAnsi" w:hAnsiTheme="minorHAnsi"/>
                <w:sz w:val="22"/>
                <w:szCs w:val="22"/>
              </w:rPr>
            </w:pPr>
            <w:r w:rsidRPr="005C44F4">
              <w:rPr>
                <w:rFonts w:asciiTheme="minorHAnsi" w:hAnsiTheme="minorHAnsi"/>
                <w:sz w:val="22"/>
                <w:szCs w:val="22"/>
              </w:rPr>
              <w:t>Net income as identified by the Agency</w:t>
            </w:r>
          </w:p>
        </w:tc>
        <w:tc>
          <w:tcPr>
            <w:tcW w:w="6521" w:type="dxa"/>
            <w:gridSpan w:val="2"/>
          </w:tcPr>
          <w:p w:rsidR="00581CB7" w:rsidRPr="005C44F4" w:rsidRDefault="00581CB7" w:rsidP="00581CB7">
            <w:pPr>
              <w:pStyle w:val="ListParagraph"/>
              <w:ind w:left="0"/>
              <w:rPr>
                <w:rFonts w:asciiTheme="minorHAnsi" w:hAnsiTheme="minorHAnsi"/>
                <w:sz w:val="22"/>
                <w:szCs w:val="22"/>
              </w:rPr>
            </w:pPr>
            <w:r w:rsidRPr="005C44F4">
              <w:rPr>
                <w:rFonts w:asciiTheme="minorHAnsi" w:hAnsiTheme="minorHAnsi"/>
                <w:sz w:val="22"/>
                <w:szCs w:val="22"/>
              </w:rPr>
              <w:t>Gross previous year’s income as declared to HMRC</w:t>
            </w:r>
            <w:r w:rsidR="007C503E">
              <w:rPr>
                <w:rFonts w:asciiTheme="minorHAnsi" w:hAnsiTheme="minorHAnsi"/>
                <w:sz w:val="22"/>
                <w:szCs w:val="22"/>
              </w:rPr>
              <w:t xml:space="preserve"> (unless 25% threshold breached meaning a move to “current” income calculations)</w:t>
            </w:r>
          </w:p>
        </w:tc>
      </w:tr>
      <w:tr w:rsidR="00581CB7" w:rsidRPr="005C44F4" w:rsidTr="008A640C">
        <w:tc>
          <w:tcPr>
            <w:tcW w:w="2802" w:type="dxa"/>
          </w:tcPr>
          <w:p w:rsidR="00581CB7" w:rsidRPr="005C44F4" w:rsidRDefault="00581CB7" w:rsidP="00581CB7">
            <w:pPr>
              <w:pStyle w:val="ListParagraph"/>
              <w:ind w:left="0"/>
              <w:rPr>
                <w:rFonts w:asciiTheme="minorHAnsi" w:hAnsiTheme="minorHAnsi"/>
                <w:b/>
                <w:sz w:val="22"/>
                <w:szCs w:val="22"/>
              </w:rPr>
            </w:pPr>
            <w:r w:rsidRPr="005C44F4">
              <w:rPr>
                <w:rFonts w:asciiTheme="minorHAnsi" w:hAnsiTheme="minorHAnsi"/>
                <w:b/>
                <w:sz w:val="22"/>
                <w:szCs w:val="22"/>
              </w:rPr>
              <w:t xml:space="preserve">Tax </w:t>
            </w:r>
          </w:p>
        </w:tc>
        <w:tc>
          <w:tcPr>
            <w:tcW w:w="5386" w:type="dxa"/>
          </w:tcPr>
          <w:p w:rsidR="00581CB7" w:rsidRPr="005C44F4" w:rsidRDefault="007C503E" w:rsidP="007C503E">
            <w:pPr>
              <w:pStyle w:val="ListParagraph"/>
              <w:ind w:left="0"/>
              <w:rPr>
                <w:rFonts w:asciiTheme="minorHAnsi" w:hAnsiTheme="minorHAnsi"/>
                <w:sz w:val="22"/>
                <w:szCs w:val="22"/>
              </w:rPr>
            </w:pPr>
            <w:r>
              <w:rPr>
                <w:rFonts w:asciiTheme="minorHAnsi" w:hAnsiTheme="minorHAnsi"/>
                <w:sz w:val="22"/>
                <w:szCs w:val="22"/>
              </w:rPr>
              <w:t>Taken f</w:t>
            </w:r>
            <w:r w:rsidR="00581CB7" w:rsidRPr="005C44F4">
              <w:rPr>
                <w:rFonts w:asciiTheme="minorHAnsi" w:hAnsiTheme="minorHAnsi"/>
                <w:sz w:val="22"/>
                <w:szCs w:val="22"/>
              </w:rPr>
              <w:t xml:space="preserve">ully </w:t>
            </w:r>
            <w:r>
              <w:rPr>
                <w:rFonts w:asciiTheme="minorHAnsi" w:hAnsiTheme="minorHAnsi"/>
                <w:sz w:val="22"/>
                <w:szCs w:val="22"/>
              </w:rPr>
              <w:t>into account</w:t>
            </w:r>
          </w:p>
        </w:tc>
        <w:tc>
          <w:tcPr>
            <w:tcW w:w="6521" w:type="dxa"/>
            <w:gridSpan w:val="2"/>
          </w:tcPr>
          <w:p w:rsidR="00581CB7" w:rsidRPr="005C44F4" w:rsidRDefault="00581CB7" w:rsidP="00581CB7">
            <w:pPr>
              <w:pStyle w:val="ListParagraph"/>
              <w:ind w:left="0"/>
              <w:rPr>
                <w:rFonts w:asciiTheme="minorHAnsi" w:hAnsiTheme="minorHAnsi"/>
                <w:sz w:val="22"/>
                <w:szCs w:val="22"/>
              </w:rPr>
            </w:pPr>
            <w:r w:rsidRPr="005C44F4">
              <w:rPr>
                <w:rFonts w:asciiTheme="minorHAnsi" w:hAnsiTheme="minorHAnsi"/>
                <w:sz w:val="22"/>
                <w:szCs w:val="22"/>
              </w:rPr>
              <w:t>Ignored</w:t>
            </w:r>
          </w:p>
        </w:tc>
      </w:tr>
      <w:tr w:rsidR="00581CB7" w:rsidRPr="005C44F4" w:rsidTr="008A640C">
        <w:tc>
          <w:tcPr>
            <w:tcW w:w="2802" w:type="dxa"/>
          </w:tcPr>
          <w:p w:rsidR="00581CB7" w:rsidRPr="005C44F4" w:rsidRDefault="007C503E" w:rsidP="00212B7E">
            <w:pPr>
              <w:pStyle w:val="ListParagraph"/>
              <w:ind w:left="0"/>
              <w:rPr>
                <w:rFonts w:asciiTheme="minorHAnsi" w:hAnsiTheme="minorHAnsi"/>
                <w:b/>
                <w:sz w:val="22"/>
                <w:szCs w:val="22"/>
              </w:rPr>
            </w:pPr>
            <w:r>
              <w:rPr>
                <w:rFonts w:asciiTheme="minorHAnsi" w:hAnsiTheme="minorHAnsi"/>
                <w:b/>
                <w:sz w:val="22"/>
                <w:szCs w:val="22"/>
              </w:rPr>
              <w:t>Maximum</w:t>
            </w:r>
          </w:p>
        </w:tc>
        <w:tc>
          <w:tcPr>
            <w:tcW w:w="5386" w:type="dxa"/>
          </w:tcPr>
          <w:p w:rsidR="00581CB7" w:rsidRPr="005C44F4" w:rsidRDefault="00581CB7" w:rsidP="00581CB7">
            <w:pPr>
              <w:pStyle w:val="ListParagraph"/>
              <w:ind w:left="0"/>
              <w:rPr>
                <w:rFonts w:asciiTheme="minorHAnsi" w:hAnsiTheme="minorHAnsi"/>
                <w:sz w:val="22"/>
                <w:szCs w:val="22"/>
              </w:rPr>
            </w:pPr>
            <w:r w:rsidRPr="005C44F4">
              <w:rPr>
                <w:rFonts w:asciiTheme="minorHAnsi" w:hAnsiTheme="minorHAnsi"/>
                <w:sz w:val="22"/>
                <w:szCs w:val="22"/>
              </w:rPr>
              <w:t>£104,000 net income</w:t>
            </w:r>
          </w:p>
        </w:tc>
        <w:tc>
          <w:tcPr>
            <w:tcW w:w="6521" w:type="dxa"/>
            <w:gridSpan w:val="2"/>
          </w:tcPr>
          <w:p w:rsidR="00581CB7" w:rsidRPr="005C44F4" w:rsidRDefault="00581CB7" w:rsidP="00581CB7">
            <w:pPr>
              <w:pStyle w:val="ListParagraph"/>
              <w:ind w:left="0"/>
              <w:rPr>
                <w:rFonts w:asciiTheme="minorHAnsi" w:hAnsiTheme="minorHAnsi"/>
                <w:sz w:val="22"/>
                <w:szCs w:val="22"/>
              </w:rPr>
            </w:pPr>
            <w:r w:rsidRPr="005C44F4">
              <w:rPr>
                <w:rFonts w:asciiTheme="minorHAnsi" w:hAnsiTheme="minorHAnsi"/>
                <w:sz w:val="22"/>
                <w:szCs w:val="22"/>
              </w:rPr>
              <w:t>£156,000 gross income</w:t>
            </w:r>
          </w:p>
        </w:tc>
      </w:tr>
      <w:tr w:rsidR="00581CB7" w:rsidRPr="005C44F4" w:rsidTr="007C503E">
        <w:tc>
          <w:tcPr>
            <w:tcW w:w="2802" w:type="dxa"/>
          </w:tcPr>
          <w:p w:rsidR="00581CB7" w:rsidRDefault="00581CB7" w:rsidP="00581CB7">
            <w:pPr>
              <w:pStyle w:val="ListParagraph"/>
              <w:ind w:left="0"/>
              <w:rPr>
                <w:rFonts w:asciiTheme="minorHAnsi" w:hAnsiTheme="minorHAnsi"/>
                <w:b/>
                <w:sz w:val="22"/>
                <w:szCs w:val="22"/>
              </w:rPr>
            </w:pPr>
            <w:r>
              <w:rPr>
                <w:rFonts w:asciiTheme="minorHAnsi" w:hAnsiTheme="minorHAnsi"/>
                <w:b/>
                <w:sz w:val="22"/>
                <w:szCs w:val="22"/>
              </w:rPr>
              <w:t>Levy for:</w:t>
            </w:r>
          </w:p>
          <w:p w:rsidR="00581CB7" w:rsidRDefault="00581CB7" w:rsidP="00581CB7">
            <w:pPr>
              <w:pStyle w:val="ListParagraph"/>
              <w:ind w:left="0"/>
              <w:rPr>
                <w:rFonts w:asciiTheme="minorHAnsi" w:hAnsiTheme="minorHAnsi"/>
                <w:b/>
                <w:sz w:val="22"/>
                <w:szCs w:val="22"/>
              </w:rPr>
            </w:pPr>
            <w:r>
              <w:rPr>
                <w:rFonts w:asciiTheme="minorHAnsi" w:hAnsiTheme="minorHAnsi"/>
                <w:b/>
                <w:sz w:val="22"/>
                <w:szCs w:val="22"/>
              </w:rPr>
              <w:t xml:space="preserve"> </w:t>
            </w:r>
          </w:p>
          <w:p w:rsidR="00581CB7" w:rsidRDefault="00581CB7" w:rsidP="00581CB7">
            <w:pPr>
              <w:pStyle w:val="ListParagraph"/>
              <w:ind w:left="0"/>
              <w:rPr>
                <w:rFonts w:asciiTheme="minorHAnsi" w:hAnsiTheme="minorHAnsi"/>
                <w:b/>
                <w:sz w:val="22"/>
                <w:szCs w:val="22"/>
              </w:rPr>
            </w:pPr>
            <w:r>
              <w:rPr>
                <w:rFonts w:asciiTheme="minorHAnsi" w:hAnsiTheme="minorHAnsi"/>
                <w:b/>
                <w:sz w:val="22"/>
                <w:szCs w:val="22"/>
              </w:rPr>
              <w:t>1 child</w:t>
            </w:r>
          </w:p>
          <w:p w:rsidR="00581CB7" w:rsidRDefault="00581CB7" w:rsidP="00581CB7">
            <w:pPr>
              <w:pStyle w:val="ListParagraph"/>
              <w:ind w:left="0"/>
              <w:rPr>
                <w:rFonts w:asciiTheme="minorHAnsi" w:hAnsiTheme="minorHAnsi"/>
                <w:b/>
                <w:sz w:val="22"/>
                <w:szCs w:val="22"/>
              </w:rPr>
            </w:pPr>
          </w:p>
          <w:p w:rsidR="00581CB7" w:rsidRDefault="00581CB7" w:rsidP="00581CB7">
            <w:pPr>
              <w:pStyle w:val="ListParagraph"/>
              <w:ind w:left="0"/>
              <w:rPr>
                <w:rFonts w:asciiTheme="minorHAnsi" w:hAnsiTheme="minorHAnsi"/>
                <w:b/>
                <w:sz w:val="22"/>
                <w:szCs w:val="22"/>
              </w:rPr>
            </w:pPr>
            <w:r>
              <w:rPr>
                <w:rFonts w:asciiTheme="minorHAnsi" w:hAnsiTheme="minorHAnsi"/>
                <w:b/>
                <w:sz w:val="22"/>
                <w:szCs w:val="22"/>
              </w:rPr>
              <w:t xml:space="preserve">2 children </w:t>
            </w:r>
          </w:p>
          <w:p w:rsidR="00581CB7" w:rsidRDefault="00581CB7" w:rsidP="00581CB7">
            <w:pPr>
              <w:pStyle w:val="ListParagraph"/>
              <w:ind w:left="0"/>
              <w:rPr>
                <w:rFonts w:asciiTheme="minorHAnsi" w:hAnsiTheme="minorHAnsi"/>
                <w:b/>
                <w:sz w:val="22"/>
                <w:szCs w:val="22"/>
              </w:rPr>
            </w:pPr>
          </w:p>
          <w:p w:rsidR="00581CB7" w:rsidRPr="005C44F4" w:rsidRDefault="00581CB7" w:rsidP="00581CB7">
            <w:pPr>
              <w:pStyle w:val="ListParagraph"/>
              <w:ind w:left="0"/>
              <w:rPr>
                <w:rFonts w:asciiTheme="minorHAnsi" w:hAnsiTheme="minorHAnsi"/>
                <w:b/>
                <w:sz w:val="22"/>
                <w:szCs w:val="22"/>
              </w:rPr>
            </w:pPr>
            <w:r>
              <w:rPr>
                <w:rFonts w:asciiTheme="minorHAnsi" w:hAnsiTheme="minorHAnsi"/>
                <w:b/>
                <w:sz w:val="22"/>
                <w:szCs w:val="22"/>
              </w:rPr>
              <w:t>3 or more children</w:t>
            </w:r>
          </w:p>
        </w:tc>
        <w:tc>
          <w:tcPr>
            <w:tcW w:w="5386" w:type="dxa"/>
          </w:tcPr>
          <w:p w:rsidR="00581CB7" w:rsidRPr="005C44F4" w:rsidRDefault="00581CB7" w:rsidP="00581CB7">
            <w:pPr>
              <w:pStyle w:val="ListParagraph"/>
              <w:ind w:left="0"/>
              <w:rPr>
                <w:rFonts w:asciiTheme="minorHAnsi" w:hAnsiTheme="minorHAnsi"/>
                <w:sz w:val="22"/>
                <w:szCs w:val="22"/>
              </w:rPr>
            </w:pPr>
          </w:p>
          <w:p w:rsidR="00581CB7" w:rsidRDefault="00581CB7" w:rsidP="00581CB7">
            <w:pPr>
              <w:pStyle w:val="ListParagraph"/>
              <w:ind w:left="0"/>
              <w:rPr>
                <w:rFonts w:asciiTheme="minorHAnsi" w:hAnsiTheme="minorHAnsi"/>
                <w:sz w:val="22"/>
                <w:szCs w:val="22"/>
              </w:rPr>
            </w:pPr>
          </w:p>
          <w:p w:rsidR="00581CB7" w:rsidRPr="005C44F4" w:rsidRDefault="00581CB7" w:rsidP="00581CB7">
            <w:pPr>
              <w:pStyle w:val="ListParagraph"/>
              <w:ind w:left="0"/>
              <w:rPr>
                <w:rFonts w:asciiTheme="minorHAnsi" w:hAnsiTheme="minorHAnsi"/>
                <w:sz w:val="22"/>
                <w:szCs w:val="22"/>
              </w:rPr>
            </w:pPr>
            <w:r w:rsidRPr="005C44F4">
              <w:rPr>
                <w:rFonts w:asciiTheme="minorHAnsi" w:hAnsiTheme="minorHAnsi"/>
                <w:sz w:val="22"/>
                <w:szCs w:val="22"/>
              </w:rPr>
              <w:t>15%</w:t>
            </w:r>
          </w:p>
          <w:p w:rsidR="00581CB7" w:rsidRDefault="00581CB7" w:rsidP="00581CB7">
            <w:pPr>
              <w:pStyle w:val="ListParagraph"/>
              <w:ind w:left="0"/>
              <w:rPr>
                <w:rFonts w:asciiTheme="minorHAnsi" w:hAnsiTheme="minorHAnsi"/>
                <w:sz w:val="22"/>
                <w:szCs w:val="22"/>
              </w:rPr>
            </w:pPr>
          </w:p>
          <w:p w:rsidR="00581CB7" w:rsidRPr="005C44F4" w:rsidRDefault="00581CB7" w:rsidP="00581CB7">
            <w:pPr>
              <w:pStyle w:val="ListParagraph"/>
              <w:ind w:left="0"/>
              <w:rPr>
                <w:rFonts w:asciiTheme="minorHAnsi" w:hAnsiTheme="minorHAnsi"/>
                <w:sz w:val="22"/>
                <w:szCs w:val="22"/>
              </w:rPr>
            </w:pPr>
            <w:r w:rsidRPr="005C44F4">
              <w:rPr>
                <w:rFonts w:asciiTheme="minorHAnsi" w:hAnsiTheme="minorHAnsi"/>
                <w:sz w:val="22"/>
                <w:szCs w:val="22"/>
              </w:rPr>
              <w:t>20%</w:t>
            </w:r>
          </w:p>
          <w:p w:rsidR="00581CB7" w:rsidRDefault="00581CB7" w:rsidP="00581CB7">
            <w:pPr>
              <w:pStyle w:val="ListParagraph"/>
              <w:ind w:left="0"/>
              <w:rPr>
                <w:rFonts w:asciiTheme="minorHAnsi" w:hAnsiTheme="minorHAnsi"/>
                <w:sz w:val="22"/>
                <w:szCs w:val="22"/>
              </w:rPr>
            </w:pPr>
          </w:p>
          <w:p w:rsidR="00581CB7" w:rsidRPr="005C44F4" w:rsidRDefault="00581CB7" w:rsidP="00581CB7">
            <w:pPr>
              <w:pStyle w:val="ListParagraph"/>
              <w:ind w:left="0"/>
              <w:rPr>
                <w:rFonts w:asciiTheme="minorHAnsi" w:hAnsiTheme="minorHAnsi"/>
                <w:sz w:val="22"/>
                <w:szCs w:val="22"/>
              </w:rPr>
            </w:pPr>
            <w:r w:rsidRPr="005C44F4">
              <w:rPr>
                <w:rFonts w:asciiTheme="minorHAnsi" w:hAnsiTheme="minorHAnsi"/>
                <w:sz w:val="22"/>
                <w:szCs w:val="22"/>
              </w:rPr>
              <w:t>25%</w:t>
            </w:r>
          </w:p>
        </w:tc>
        <w:tc>
          <w:tcPr>
            <w:tcW w:w="2268" w:type="dxa"/>
          </w:tcPr>
          <w:p w:rsidR="00581CB7" w:rsidRPr="005C44F4" w:rsidRDefault="00581CB7" w:rsidP="00581CB7">
            <w:pPr>
              <w:pStyle w:val="ListParagraph"/>
              <w:ind w:left="0"/>
              <w:rPr>
                <w:rFonts w:asciiTheme="minorHAnsi" w:hAnsiTheme="minorHAnsi"/>
                <w:sz w:val="22"/>
                <w:szCs w:val="22"/>
              </w:rPr>
            </w:pPr>
            <w:r w:rsidRPr="005C44F4">
              <w:rPr>
                <w:rFonts w:asciiTheme="minorHAnsi" w:hAnsiTheme="minorHAnsi"/>
                <w:i/>
                <w:sz w:val="22"/>
                <w:szCs w:val="22"/>
              </w:rPr>
              <w:t>First £800 pw</w:t>
            </w:r>
          </w:p>
          <w:p w:rsidR="00581CB7" w:rsidRDefault="00581CB7" w:rsidP="00581CB7">
            <w:pPr>
              <w:pStyle w:val="ListParagraph"/>
              <w:ind w:left="0"/>
              <w:rPr>
                <w:rFonts w:asciiTheme="minorHAnsi" w:hAnsiTheme="minorHAnsi"/>
                <w:sz w:val="22"/>
                <w:szCs w:val="22"/>
              </w:rPr>
            </w:pPr>
          </w:p>
          <w:p w:rsidR="00581CB7" w:rsidRPr="005C44F4" w:rsidRDefault="00581CB7" w:rsidP="00581CB7">
            <w:pPr>
              <w:pStyle w:val="ListParagraph"/>
              <w:ind w:left="0"/>
              <w:rPr>
                <w:rFonts w:asciiTheme="minorHAnsi" w:hAnsiTheme="minorHAnsi"/>
                <w:sz w:val="22"/>
                <w:szCs w:val="22"/>
              </w:rPr>
            </w:pPr>
            <w:r w:rsidRPr="005C44F4">
              <w:rPr>
                <w:rFonts w:asciiTheme="minorHAnsi" w:hAnsiTheme="minorHAnsi"/>
                <w:sz w:val="22"/>
                <w:szCs w:val="22"/>
              </w:rPr>
              <w:t>12%</w:t>
            </w:r>
          </w:p>
          <w:p w:rsidR="00581CB7" w:rsidRDefault="00581CB7" w:rsidP="00581CB7">
            <w:pPr>
              <w:pStyle w:val="ListParagraph"/>
              <w:ind w:left="0"/>
              <w:rPr>
                <w:rFonts w:asciiTheme="minorHAnsi" w:hAnsiTheme="minorHAnsi"/>
                <w:sz w:val="22"/>
                <w:szCs w:val="22"/>
              </w:rPr>
            </w:pPr>
          </w:p>
          <w:p w:rsidR="00581CB7" w:rsidRPr="005C44F4" w:rsidRDefault="00581CB7" w:rsidP="00581CB7">
            <w:pPr>
              <w:pStyle w:val="ListParagraph"/>
              <w:ind w:left="0"/>
              <w:rPr>
                <w:rFonts w:asciiTheme="minorHAnsi" w:hAnsiTheme="minorHAnsi"/>
                <w:sz w:val="22"/>
                <w:szCs w:val="22"/>
              </w:rPr>
            </w:pPr>
            <w:r w:rsidRPr="005C44F4">
              <w:rPr>
                <w:rFonts w:asciiTheme="minorHAnsi" w:hAnsiTheme="minorHAnsi"/>
                <w:sz w:val="22"/>
                <w:szCs w:val="22"/>
              </w:rPr>
              <w:t>16%</w:t>
            </w:r>
          </w:p>
          <w:p w:rsidR="00581CB7" w:rsidRDefault="00581CB7" w:rsidP="00581CB7">
            <w:pPr>
              <w:pStyle w:val="ListParagraph"/>
              <w:ind w:left="0"/>
              <w:rPr>
                <w:rFonts w:asciiTheme="minorHAnsi" w:hAnsiTheme="minorHAnsi"/>
                <w:sz w:val="22"/>
                <w:szCs w:val="22"/>
              </w:rPr>
            </w:pPr>
          </w:p>
          <w:p w:rsidR="00581CB7" w:rsidRPr="005C44F4" w:rsidRDefault="00581CB7" w:rsidP="00581CB7">
            <w:pPr>
              <w:pStyle w:val="ListParagraph"/>
              <w:ind w:left="0"/>
              <w:rPr>
                <w:rFonts w:asciiTheme="minorHAnsi" w:hAnsiTheme="minorHAnsi"/>
                <w:sz w:val="22"/>
                <w:szCs w:val="22"/>
              </w:rPr>
            </w:pPr>
            <w:r w:rsidRPr="005C44F4">
              <w:rPr>
                <w:rFonts w:asciiTheme="minorHAnsi" w:hAnsiTheme="minorHAnsi"/>
                <w:sz w:val="22"/>
                <w:szCs w:val="22"/>
              </w:rPr>
              <w:t>19%</w:t>
            </w:r>
          </w:p>
        </w:tc>
        <w:tc>
          <w:tcPr>
            <w:tcW w:w="4253" w:type="dxa"/>
          </w:tcPr>
          <w:p w:rsidR="00581CB7" w:rsidRDefault="00581CB7" w:rsidP="00581CB7">
            <w:pPr>
              <w:pStyle w:val="ListParagraph"/>
              <w:ind w:left="0"/>
              <w:rPr>
                <w:rFonts w:asciiTheme="minorHAnsi" w:hAnsiTheme="minorHAnsi"/>
                <w:i/>
                <w:sz w:val="22"/>
                <w:szCs w:val="22"/>
              </w:rPr>
            </w:pPr>
            <w:r>
              <w:rPr>
                <w:rFonts w:asciiTheme="minorHAnsi" w:hAnsiTheme="minorHAnsi"/>
                <w:i/>
                <w:sz w:val="22"/>
                <w:szCs w:val="22"/>
              </w:rPr>
              <w:t>Above £800 (income taxed at higher rate)</w:t>
            </w:r>
          </w:p>
          <w:p w:rsidR="007C503E" w:rsidRPr="005C44F4" w:rsidRDefault="007C503E" w:rsidP="00581CB7">
            <w:pPr>
              <w:pStyle w:val="ListParagraph"/>
              <w:ind w:left="0"/>
              <w:rPr>
                <w:rFonts w:asciiTheme="minorHAnsi" w:hAnsiTheme="minorHAnsi"/>
                <w:i/>
                <w:sz w:val="22"/>
                <w:szCs w:val="22"/>
              </w:rPr>
            </w:pPr>
          </w:p>
          <w:p w:rsidR="00581CB7" w:rsidRPr="005C44F4" w:rsidRDefault="00581CB7" w:rsidP="00581CB7">
            <w:pPr>
              <w:pStyle w:val="ListParagraph"/>
              <w:ind w:left="0"/>
              <w:rPr>
                <w:rFonts w:asciiTheme="minorHAnsi" w:hAnsiTheme="minorHAnsi"/>
                <w:sz w:val="22"/>
                <w:szCs w:val="22"/>
              </w:rPr>
            </w:pPr>
            <w:r w:rsidRPr="005C44F4">
              <w:rPr>
                <w:rFonts w:asciiTheme="minorHAnsi" w:hAnsiTheme="minorHAnsi"/>
                <w:sz w:val="22"/>
                <w:szCs w:val="22"/>
              </w:rPr>
              <w:t>9%</w:t>
            </w:r>
          </w:p>
          <w:p w:rsidR="00581CB7" w:rsidRDefault="00581CB7" w:rsidP="00581CB7">
            <w:pPr>
              <w:pStyle w:val="ListParagraph"/>
              <w:ind w:left="0"/>
              <w:rPr>
                <w:rFonts w:asciiTheme="minorHAnsi" w:hAnsiTheme="minorHAnsi"/>
                <w:sz w:val="22"/>
                <w:szCs w:val="22"/>
              </w:rPr>
            </w:pPr>
          </w:p>
          <w:p w:rsidR="00581CB7" w:rsidRPr="005C44F4" w:rsidRDefault="00581CB7" w:rsidP="00581CB7">
            <w:pPr>
              <w:pStyle w:val="ListParagraph"/>
              <w:ind w:left="0"/>
              <w:rPr>
                <w:rFonts w:asciiTheme="minorHAnsi" w:hAnsiTheme="minorHAnsi"/>
                <w:sz w:val="22"/>
                <w:szCs w:val="22"/>
              </w:rPr>
            </w:pPr>
            <w:r w:rsidRPr="005C44F4">
              <w:rPr>
                <w:rFonts w:asciiTheme="minorHAnsi" w:hAnsiTheme="minorHAnsi"/>
                <w:sz w:val="22"/>
                <w:szCs w:val="22"/>
              </w:rPr>
              <w:t>12%</w:t>
            </w:r>
          </w:p>
          <w:p w:rsidR="00581CB7" w:rsidRDefault="00581CB7" w:rsidP="00581CB7">
            <w:pPr>
              <w:pStyle w:val="ListParagraph"/>
              <w:ind w:left="0"/>
              <w:rPr>
                <w:rFonts w:asciiTheme="minorHAnsi" w:hAnsiTheme="minorHAnsi"/>
                <w:sz w:val="22"/>
                <w:szCs w:val="22"/>
              </w:rPr>
            </w:pPr>
          </w:p>
          <w:p w:rsidR="00581CB7" w:rsidRPr="005C44F4" w:rsidRDefault="00581CB7" w:rsidP="00581CB7">
            <w:pPr>
              <w:pStyle w:val="ListParagraph"/>
              <w:ind w:left="0"/>
              <w:rPr>
                <w:rFonts w:asciiTheme="minorHAnsi" w:hAnsiTheme="minorHAnsi"/>
                <w:sz w:val="22"/>
                <w:szCs w:val="22"/>
              </w:rPr>
            </w:pPr>
            <w:r w:rsidRPr="005C44F4">
              <w:rPr>
                <w:rFonts w:asciiTheme="minorHAnsi" w:hAnsiTheme="minorHAnsi"/>
                <w:sz w:val="22"/>
                <w:szCs w:val="22"/>
              </w:rPr>
              <w:t>15%</w:t>
            </w:r>
          </w:p>
        </w:tc>
      </w:tr>
      <w:tr w:rsidR="00581CB7" w:rsidRPr="005C44F4" w:rsidTr="008A640C">
        <w:tc>
          <w:tcPr>
            <w:tcW w:w="2802" w:type="dxa"/>
          </w:tcPr>
          <w:p w:rsidR="00581CB7" w:rsidRDefault="00581CB7" w:rsidP="00581CB7">
            <w:pPr>
              <w:pStyle w:val="ListParagraph"/>
              <w:ind w:left="0"/>
              <w:rPr>
                <w:rFonts w:asciiTheme="minorHAnsi" w:hAnsiTheme="minorHAnsi"/>
                <w:b/>
                <w:sz w:val="22"/>
                <w:szCs w:val="22"/>
              </w:rPr>
            </w:pPr>
            <w:r>
              <w:rPr>
                <w:rFonts w:asciiTheme="minorHAnsi" w:hAnsiTheme="minorHAnsi"/>
                <w:b/>
                <w:sz w:val="22"/>
                <w:szCs w:val="22"/>
              </w:rPr>
              <w:t>Deductions where NRP has child in his household</w:t>
            </w:r>
          </w:p>
          <w:p w:rsidR="00581CB7" w:rsidRDefault="00581CB7" w:rsidP="00581CB7">
            <w:pPr>
              <w:pStyle w:val="ListParagraph"/>
              <w:ind w:left="0"/>
              <w:rPr>
                <w:rFonts w:asciiTheme="minorHAnsi" w:hAnsiTheme="minorHAnsi"/>
                <w:b/>
                <w:sz w:val="22"/>
                <w:szCs w:val="22"/>
              </w:rPr>
            </w:pPr>
            <w:r>
              <w:rPr>
                <w:rFonts w:asciiTheme="minorHAnsi" w:hAnsiTheme="minorHAnsi"/>
                <w:b/>
                <w:sz w:val="22"/>
                <w:szCs w:val="22"/>
              </w:rPr>
              <w:t>1 child</w:t>
            </w:r>
          </w:p>
          <w:p w:rsidR="00581CB7" w:rsidRDefault="00581CB7" w:rsidP="00581CB7">
            <w:pPr>
              <w:pStyle w:val="ListParagraph"/>
              <w:ind w:left="0"/>
              <w:rPr>
                <w:rFonts w:asciiTheme="minorHAnsi" w:hAnsiTheme="minorHAnsi"/>
                <w:b/>
                <w:sz w:val="22"/>
                <w:szCs w:val="22"/>
              </w:rPr>
            </w:pPr>
          </w:p>
          <w:p w:rsidR="00581CB7" w:rsidRDefault="00581CB7" w:rsidP="00581CB7">
            <w:pPr>
              <w:pStyle w:val="ListParagraph"/>
              <w:ind w:left="0"/>
              <w:rPr>
                <w:rFonts w:asciiTheme="minorHAnsi" w:hAnsiTheme="minorHAnsi"/>
                <w:b/>
                <w:sz w:val="22"/>
                <w:szCs w:val="22"/>
              </w:rPr>
            </w:pPr>
            <w:r>
              <w:rPr>
                <w:rFonts w:asciiTheme="minorHAnsi" w:hAnsiTheme="minorHAnsi"/>
                <w:b/>
                <w:sz w:val="22"/>
                <w:szCs w:val="22"/>
              </w:rPr>
              <w:t>2 children</w:t>
            </w:r>
          </w:p>
          <w:p w:rsidR="00581CB7" w:rsidRDefault="00581CB7" w:rsidP="00581CB7">
            <w:pPr>
              <w:pStyle w:val="ListParagraph"/>
              <w:ind w:left="0"/>
              <w:rPr>
                <w:rFonts w:asciiTheme="minorHAnsi" w:hAnsiTheme="minorHAnsi"/>
                <w:b/>
                <w:sz w:val="22"/>
                <w:szCs w:val="22"/>
              </w:rPr>
            </w:pPr>
          </w:p>
          <w:p w:rsidR="00581CB7" w:rsidRDefault="00581CB7" w:rsidP="00581CB7">
            <w:pPr>
              <w:pStyle w:val="ListParagraph"/>
              <w:ind w:left="0"/>
              <w:rPr>
                <w:rFonts w:asciiTheme="minorHAnsi" w:hAnsiTheme="minorHAnsi"/>
                <w:b/>
                <w:sz w:val="22"/>
                <w:szCs w:val="22"/>
              </w:rPr>
            </w:pPr>
            <w:r>
              <w:rPr>
                <w:rFonts w:asciiTheme="minorHAnsi" w:hAnsiTheme="minorHAnsi"/>
                <w:b/>
                <w:sz w:val="22"/>
                <w:szCs w:val="22"/>
              </w:rPr>
              <w:t>3 or more children</w:t>
            </w:r>
          </w:p>
        </w:tc>
        <w:tc>
          <w:tcPr>
            <w:tcW w:w="5386" w:type="dxa"/>
          </w:tcPr>
          <w:p w:rsidR="00581CB7" w:rsidRDefault="00581CB7" w:rsidP="00581CB7">
            <w:pPr>
              <w:pStyle w:val="ListParagraph"/>
              <w:ind w:left="0"/>
              <w:rPr>
                <w:rFonts w:asciiTheme="minorHAnsi" w:hAnsiTheme="minorHAnsi"/>
                <w:sz w:val="22"/>
                <w:szCs w:val="22"/>
              </w:rPr>
            </w:pPr>
          </w:p>
          <w:p w:rsidR="00581CB7" w:rsidRDefault="00581CB7" w:rsidP="00581CB7">
            <w:pPr>
              <w:pStyle w:val="ListParagraph"/>
              <w:ind w:left="0"/>
              <w:rPr>
                <w:rFonts w:asciiTheme="minorHAnsi" w:hAnsiTheme="minorHAnsi"/>
                <w:sz w:val="22"/>
                <w:szCs w:val="22"/>
              </w:rPr>
            </w:pPr>
          </w:p>
          <w:p w:rsidR="00581CB7" w:rsidRDefault="00581CB7" w:rsidP="00581CB7">
            <w:pPr>
              <w:pStyle w:val="ListParagraph"/>
              <w:ind w:left="0"/>
              <w:rPr>
                <w:rFonts w:asciiTheme="minorHAnsi" w:hAnsiTheme="minorHAnsi"/>
                <w:sz w:val="22"/>
                <w:szCs w:val="22"/>
              </w:rPr>
            </w:pPr>
            <w:r>
              <w:rPr>
                <w:rFonts w:asciiTheme="minorHAnsi" w:hAnsiTheme="minorHAnsi"/>
                <w:sz w:val="22"/>
                <w:szCs w:val="22"/>
              </w:rPr>
              <w:t>15%</w:t>
            </w:r>
          </w:p>
          <w:p w:rsidR="00581CB7" w:rsidRDefault="00581CB7" w:rsidP="00581CB7">
            <w:pPr>
              <w:pStyle w:val="ListParagraph"/>
              <w:ind w:left="0"/>
              <w:rPr>
                <w:rFonts w:asciiTheme="minorHAnsi" w:hAnsiTheme="minorHAnsi"/>
                <w:sz w:val="22"/>
                <w:szCs w:val="22"/>
              </w:rPr>
            </w:pPr>
          </w:p>
          <w:p w:rsidR="00581CB7" w:rsidRDefault="00581CB7" w:rsidP="00581CB7">
            <w:pPr>
              <w:pStyle w:val="ListParagraph"/>
              <w:ind w:left="0"/>
              <w:rPr>
                <w:rFonts w:asciiTheme="minorHAnsi" w:hAnsiTheme="minorHAnsi"/>
                <w:sz w:val="22"/>
                <w:szCs w:val="22"/>
              </w:rPr>
            </w:pPr>
            <w:r>
              <w:rPr>
                <w:rFonts w:asciiTheme="minorHAnsi" w:hAnsiTheme="minorHAnsi"/>
                <w:sz w:val="22"/>
                <w:szCs w:val="22"/>
              </w:rPr>
              <w:t>20%</w:t>
            </w:r>
          </w:p>
          <w:p w:rsidR="00581CB7" w:rsidRDefault="00581CB7" w:rsidP="00581CB7">
            <w:pPr>
              <w:pStyle w:val="ListParagraph"/>
              <w:ind w:left="0"/>
              <w:rPr>
                <w:rFonts w:asciiTheme="minorHAnsi" w:hAnsiTheme="minorHAnsi"/>
                <w:sz w:val="22"/>
                <w:szCs w:val="22"/>
              </w:rPr>
            </w:pPr>
          </w:p>
          <w:p w:rsidR="00581CB7" w:rsidRPr="005C44F4" w:rsidRDefault="00581CB7" w:rsidP="00581CB7">
            <w:pPr>
              <w:pStyle w:val="ListParagraph"/>
              <w:ind w:left="0"/>
              <w:rPr>
                <w:rFonts w:asciiTheme="minorHAnsi" w:hAnsiTheme="minorHAnsi"/>
                <w:sz w:val="22"/>
                <w:szCs w:val="22"/>
              </w:rPr>
            </w:pPr>
            <w:r>
              <w:rPr>
                <w:rFonts w:asciiTheme="minorHAnsi" w:hAnsiTheme="minorHAnsi"/>
                <w:sz w:val="22"/>
                <w:szCs w:val="22"/>
              </w:rPr>
              <w:t>25%</w:t>
            </w:r>
          </w:p>
        </w:tc>
        <w:tc>
          <w:tcPr>
            <w:tcW w:w="6521" w:type="dxa"/>
            <w:gridSpan w:val="2"/>
          </w:tcPr>
          <w:p w:rsidR="00581CB7" w:rsidRDefault="00581CB7" w:rsidP="00581CB7">
            <w:pPr>
              <w:pStyle w:val="ListParagraph"/>
              <w:ind w:left="0"/>
              <w:rPr>
                <w:rFonts w:asciiTheme="minorHAnsi" w:hAnsiTheme="minorHAnsi"/>
                <w:i/>
                <w:sz w:val="22"/>
                <w:szCs w:val="22"/>
              </w:rPr>
            </w:pPr>
          </w:p>
          <w:p w:rsidR="00581CB7" w:rsidRDefault="00581CB7" w:rsidP="00581CB7">
            <w:pPr>
              <w:pStyle w:val="ListParagraph"/>
              <w:ind w:left="0"/>
              <w:rPr>
                <w:rFonts w:asciiTheme="minorHAnsi" w:hAnsiTheme="minorHAnsi"/>
                <w:i/>
                <w:sz w:val="22"/>
                <w:szCs w:val="22"/>
              </w:rPr>
            </w:pPr>
          </w:p>
          <w:p w:rsidR="00581CB7" w:rsidRPr="00506EBF" w:rsidRDefault="00581CB7" w:rsidP="00506EBF">
            <w:pPr>
              <w:jc w:val="center"/>
              <w:rPr>
                <w:rFonts w:asciiTheme="minorHAnsi" w:hAnsiTheme="minorHAnsi"/>
                <w:i/>
                <w:sz w:val="22"/>
                <w:szCs w:val="22"/>
              </w:rPr>
            </w:pPr>
            <w:r w:rsidRPr="00506EBF">
              <w:rPr>
                <w:rFonts w:asciiTheme="minorHAnsi" w:hAnsiTheme="minorHAnsi"/>
                <w:i/>
                <w:sz w:val="22"/>
                <w:szCs w:val="22"/>
              </w:rPr>
              <w:t>11%</w:t>
            </w:r>
          </w:p>
          <w:p w:rsidR="00581CB7" w:rsidRDefault="00581CB7" w:rsidP="00581CB7">
            <w:pPr>
              <w:pStyle w:val="ListParagraph"/>
              <w:jc w:val="center"/>
              <w:rPr>
                <w:rFonts w:asciiTheme="minorHAnsi" w:hAnsiTheme="minorHAnsi"/>
                <w:i/>
                <w:sz w:val="22"/>
                <w:szCs w:val="22"/>
              </w:rPr>
            </w:pPr>
          </w:p>
          <w:p w:rsidR="00581CB7" w:rsidRPr="00506EBF" w:rsidRDefault="00581CB7" w:rsidP="00506EBF">
            <w:pPr>
              <w:jc w:val="center"/>
              <w:rPr>
                <w:rFonts w:asciiTheme="minorHAnsi" w:hAnsiTheme="minorHAnsi"/>
                <w:i/>
                <w:sz w:val="22"/>
                <w:szCs w:val="22"/>
              </w:rPr>
            </w:pPr>
            <w:r w:rsidRPr="00506EBF">
              <w:rPr>
                <w:rFonts w:asciiTheme="minorHAnsi" w:hAnsiTheme="minorHAnsi"/>
                <w:i/>
                <w:sz w:val="22"/>
                <w:szCs w:val="22"/>
              </w:rPr>
              <w:t>14%</w:t>
            </w:r>
          </w:p>
          <w:p w:rsidR="00581CB7" w:rsidRDefault="00581CB7" w:rsidP="00581CB7">
            <w:pPr>
              <w:pStyle w:val="ListParagraph"/>
              <w:jc w:val="center"/>
              <w:rPr>
                <w:rFonts w:asciiTheme="minorHAnsi" w:hAnsiTheme="minorHAnsi"/>
                <w:i/>
                <w:sz w:val="22"/>
                <w:szCs w:val="22"/>
              </w:rPr>
            </w:pPr>
          </w:p>
          <w:p w:rsidR="00581CB7" w:rsidRDefault="00581CB7" w:rsidP="00506EBF">
            <w:pPr>
              <w:pStyle w:val="ListParagraph"/>
              <w:ind w:left="0"/>
              <w:jc w:val="center"/>
              <w:rPr>
                <w:rFonts w:asciiTheme="minorHAnsi" w:hAnsiTheme="minorHAnsi"/>
                <w:i/>
                <w:sz w:val="22"/>
                <w:szCs w:val="22"/>
              </w:rPr>
            </w:pPr>
            <w:r>
              <w:rPr>
                <w:rFonts w:asciiTheme="minorHAnsi" w:hAnsiTheme="minorHAnsi"/>
                <w:i/>
                <w:sz w:val="22"/>
                <w:szCs w:val="22"/>
              </w:rPr>
              <w:t>16%</w:t>
            </w:r>
          </w:p>
        </w:tc>
      </w:tr>
      <w:tr w:rsidR="00581CB7" w:rsidRPr="005C44F4" w:rsidTr="008A640C">
        <w:tc>
          <w:tcPr>
            <w:tcW w:w="2802" w:type="dxa"/>
          </w:tcPr>
          <w:p w:rsidR="00581CB7" w:rsidRDefault="00581CB7" w:rsidP="00581CB7">
            <w:pPr>
              <w:pStyle w:val="ListParagraph"/>
              <w:ind w:left="0"/>
              <w:rPr>
                <w:rFonts w:asciiTheme="minorHAnsi" w:hAnsiTheme="minorHAnsi"/>
                <w:b/>
                <w:sz w:val="22"/>
                <w:szCs w:val="22"/>
              </w:rPr>
            </w:pPr>
            <w:r>
              <w:rPr>
                <w:rFonts w:asciiTheme="minorHAnsi" w:hAnsiTheme="minorHAnsi"/>
                <w:b/>
                <w:sz w:val="22"/>
                <w:szCs w:val="22"/>
              </w:rPr>
              <w:t>Variations scheme</w:t>
            </w:r>
          </w:p>
        </w:tc>
        <w:tc>
          <w:tcPr>
            <w:tcW w:w="5386" w:type="dxa"/>
          </w:tcPr>
          <w:p w:rsidR="00581CB7" w:rsidRDefault="00581CB7" w:rsidP="00581CB7">
            <w:pPr>
              <w:pStyle w:val="ListParagraph"/>
              <w:ind w:left="0"/>
              <w:rPr>
                <w:rFonts w:asciiTheme="minorHAnsi" w:hAnsiTheme="minorHAnsi"/>
                <w:sz w:val="22"/>
                <w:szCs w:val="22"/>
              </w:rPr>
            </w:pPr>
            <w:r>
              <w:rPr>
                <w:rFonts w:asciiTheme="minorHAnsi" w:hAnsiTheme="minorHAnsi"/>
                <w:sz w:val="22"/>
                <w:szCs w:val="22"/>
                <w:u w:val="single"/>
              </w:rPr>
              <w:t>Potentially increases where:</w:t>
            </w:r>
          </w:p>
          <w:p w:rsidR="00581CB7" w:rsidRDefault="00581CB7" w:rsidP="00581CB7">
            <w:pPr>
              <w:pStyle w:val="ListParagraph"/>
              <w:numPr>
                <w:ilvl w:val="0"/>
                <w:numId w:val="2"/>
              </w:numPr>
              <w:rPr>
                <w:rFonts w:asciiTheme="minorHAnsi" w:hAnsiTheme="minorHAnsi"/>
                <w:sz w:val="22"/>
                <w:szCs w:val="22"/>
              </w:rPr>
            </w:pPr>
            <w:r>
              <w:rPr>
                <w:rFonts w:asciiTheme="minorHAnsi" w:hAnsiTheme="minorHAnsi"/>
                <w:sz w:val="22"/>
                <w:szCs w:val="22"/>
              </w:rPr>
              <w:t>Assets over £65,000 “underused”</w:t>
            </w:r>
          </w:p>
          <w:p w:rsidR="00581CB7" w:rsidRDefault="00581CB7" w:rsidP="00581CB7">
            <w:pPr>
              <w:pStyle w:val="ListParagraph"/>
              <w:numPr>
                <w:ilvl w:val="0"/>
                <w:numId w:val="2"/>
              </w:numPr>
              <w:rPr>
                <w:rFonts w:asciiTheme="minorHAnsi" w:hAnsiTheme="minorHAnsi"/>
                <w:sz w:val="22"/>
                <w:szCs w:val="22"/>
              </w:rPr>
            </w:pPr>
            <w:r>
              <w:rPr>
                <w:rFonts w:asciiTheme="minorHAnsi" w:hAnsiTheme="minorHAnsi"/>
                <w:sz w:val="22"/>
                <w:szCs w:val="22"/>
              </w:rPr>
              <w:t>Dividends</w:t>
            </w:r>
          </w:p>
          <w:p w:rsidR="00581CB7" w:rsidRDefault="00581CB7" w:rsidP="00581CB7">
            <w:pPr>
              <w:pStyle w:val="ListParagraph"/>
              <w:numPr>
                <w:ilvl w:val="0"/>
                <w:numId w:val="2"/>
              </w:numPr>
              <w:rPr>
                <w:rFonts w:asciiTheme="minorHAnsi" w:hAnsiTheme="minorHAnsi"/>
                <w:sz w:val="22"/>
                <w:szCs w:val="22"/>
              </w:rPr>
            </w:pPr>
            <w:r>
              <w:rPr>
                <w:rFonts w:asciiTheme="minorHAnsi" w:hAnsiTheme="minorHAnsi"/>
                <w:sz w:val="22"/>
                <w:szCs w:val="22"/>
              </w:rPr>
              <w:t>Income being diverted</w:t>
            </w:r>
          </w:p>
          <w:p w:rsidR="00581CB7" w:rsidRDefault="00581CB7" w:rsidP="00581CB7">
            <w:pPr>
              <w:pStyle w:val="ListParagraph"/>
              <w:numPr>
                <w:ilvl w:val="0"/>
                <w:numId w:val="2"/>
              </w:numPr>
              <w:rPr>
                <w:rFonts w:asciiTheme="minorHAnsi" w:hAnsiTheme="minorHAnsi"/>
                <w:sz w:val="22"/>
                <w:szCs w:val="22"/>
              </w:rPr>
            </w:pPr>
            <w:r>
              <w:rPr>
                <w:rFonts w:asciiTheme="minorHAnsi" w:hAnsiTheme="minorHAnsi"/>
                <w:sz w:val="22"/>
                <w:szCs w:val="22"/>
              </w:rPr>
              <w:t>Lifestyle inconsistent with declared income</w:t>
            </w:r>
          </w:p>
          <w:p w:rsidR="00581CB7" w:rsidRDefault="00581CB7" w:rsidP="00581CB7">
            <w:pPr>
              <w:rPr>
                <w:rFonts w:asciiTheme="minorHAnsi" w:hAnsiTheme="minorHAnsi"/>
                <w:sz w:val="22"/>
                <w:szCs w:val="22"/>
              </w:rPr>
            </w:pPr>
            <w:r>
              <w:rPr>
                <w:rFonts w:asciiTheme="minorHAnsi" w:hAnsiTheme="minorHAnsi"/>
                <w:sz w:val="22"/>
                <w:szCs w:val="22"/>
                <w:u w:val="single"/>
              </w:rPr>
              <w:t xml:space="preserve">Potential reductions where </w:t>
            </w:r>
            <w:r w:rsidRPr="00F31A87">
              <w:rPr>
                <w:rFonts w:asciiTheme="minorHAnsi" w:hAnsiTheme="minorHAnsi"/>
                <w:sz w:val="22"/>
                <w:szCs w:val="22"/>
              </w:rPr>
              <w:t xml:space="preserve"> </w:t>
            </w:r>
          </w:p>
          <w:p w:rsidR="00581CB7" w:rsidRDefault="00581CB7" w:rsidP="00581CB7">
            <w:pPr>
              <w:pStyle w:val="ListParagraph"/>
              <w:numPr>
                <w:ilvl w:val="0"/>
                <w:numId w:val="2"/>
              </w:numPr>
              <w:rPr>
                <w:rFonts w:asciiTheme="minorHAnsi" w:hAnsiTheme="minorHAnsi"/>
                <w:sz w:val="22"/>
                <w:szCs w:val="22"/>
              </w:rPr>
            </w:pPr>
            <w:r>
              <w:rPr>
                <w:rFonts w:asciiTheme="minorHAnsi" w:hAnsiTheme="minorHAnsi"/>
                <w:sz w:val="22"/>
                <w:szCs w:val="22"/>
              </w:rPr>
              <w:t>Boarding school fees being paid</w:t>
            </w:r>
          </w:p>
          <w:p w:rsidR="00581CB7" w:rsidRDefault="00581CB7" w:rsidP="00581CB7">
            <w:pPr>
              <w:pStyle w:val="ListParagraph"/>
              <w:numPr>
                <w:ilvl w:val="0"/>
                <w:numId w:val="2"/>
              </w:numPr>
              <w:rPr>
                <w:rFonts w:asciiTheme="minorHAnsi" w:hAnsiTheme="minorHAnsi"/>
                <w:sz w:val="22"/>
                <w:szCs w:val="22"/>
              </w:rPr>
            </w:pPr>
            <w:r>
              <w:rPr>
                <w:rFonts w:asciiTheme="minorHAnsi" w:hAnsiTheme="minorHAnsi"/>
                <w:sz w:val="22"/>
                <w:szCs w:val="22"/>
              </w:rPr>
              <w:t>C</w:t>
            </w:r>
            <w:r w:rsidR="00506EBF">
              <w:rPr>
                <w:rFonts w:asciiTheme="minorHAnsi" w:hAnsiTheme="minorHAnsi"/>
                <w:sz w:val="22"/>
                <w:szCs w:val="22"/>
              </w:rPr>
              <w:t xml:space="preserve">ontact costs </w:t>
            </w:r>
          </w:p>
          <w:p w:rsidR="00581CB7" w:rsidRDefault="00581CB7" w:rsidP="00581CB7">
            <w:pPr>
              <w:pStyle w:val="ListParagraph"/>
              <w:numPr>
                <w:ilvl w:val="0"/>
                <w:numId w:val="2"/>
              </w:numPr>
              <w:rPr>
                <w:rFonts w:asciiTheme="minorHAnsi" w:hAnsiTheme="minorHAnsi"/>
                <w:sz w:val="22"/>
                <w:szCs w:val="22"/>
              </w:rPr>
            </w:pPr>
            <w:r>
              <w:rPr>
                <w:rFonts w:asciiTheme="minorHAnsi" w:hAnsiTheme="minorHAnsi"/>
                <w:sz w:val="22"/>
                <w:szCs w:val="22"/>
              </w:rPr>
              <w:t>Illness</w:t>
            </w:r>
          </w:p>
          <w:p w:rsidR="00581CB7" w:rsidRDefault="00581CB7" w:rsidP="00506EBF">
            <w:pPr>
              <w:pStyle w:val="ListParagraph"/>
              <w:numPr>
                <w:ilvl w:val="0"/>
                <w:numId w:val="2"/>
              </w:numPr>
              <w:rPr>
                <w:rFonts w:asciiTheme="minorHAnsi" w:hAnsiTheme="minorHAnsi"/>
                <w:sz w:val="22"/>
                <w:szCs w:val="22"/>
              </w:rPr>
            </w:pPr>
            <w:r>
              <w:rPr>
                <w:rFonts w:asciiTheme="minorHAnsi" w:hAnsiTheme="minorHAnsi"/>
                <w:sz w:val="22"/>
                <w:szCs w:val="22"/>
              </w:rPr>
              <w:t>Debt or Mortgage from the relationship</w:t>
            </w:r>
          </w:p>
        </w:tc>
        <w:tc>
          <w:tcPr>
            <w:tcW w:w="6521" w:type="dxa"/>
            <w:gridSpan w:val="2"/>
          </w:tcPr>
          <w:p w:rsidR="00581CB7" w:rsidRDefault="00581CB7" w:rsidP="007C503E">
            <w:pPr>
              <w:pStyle w:val="ListParagraph"/>
              <w:ind w:left="0"/>
              <w:rPr>
                <w:rFonts w:asciiTheme="minorHAnsi" w:hAnsiTheme="minorHAnsi"/>
                <w:sz w:val="22"/>
                <w:szCs w:val="22"/>
              </w:rPr>
            </w:pPr>
            <w:r>
              <w:rPr>
                <w:rFonts w:asciiTheme="minorHAnsi" w:hAnsiTheme="minorHAnsi"/>
                <w:sz w:val="22"/>
                <w:szCs w:val="22"/>
              </w:rPr>
              <w:t xml:space="preserve">The new variations scheme is similar save that crucially there is to be abolished the underused assets and lifestyle categories.  Once again, millionaires with careful arrangements will enjoy minimal levels of child support (and </w:t>
            </w:r>
            <w:r w:rsidR="007C503E">
              <w:rPr>
                <w:rFonts w:asciiTheme="minorHAnsi" w:hAnsiTheme="minorHAnsi"/>
                <w:sz w:val="22"/>
                <w:szCs w:val="22"/>
              </w:rPr>
              <w:t xml:space="preserve">also be </w:t>
            </w:r>
            <w:r>
              <w:rPr>
                <w:rFonts w:asciiTheme="minorHAnsi" w:hAnsiTheme="minorHAnsi"/>
                <w:sz w:val="22"/>
                <w:szCs w:val="22"/>
              </w:rPr>
              <w:t>out of reach of the court’s making a top-up award).</w:t>
            </w:r>
          </w:p>
        </w:tc>
      </w:tr>
      <w:tr w:rsidR="00581CB7" w:rsidRPr="005C44F4" w:rsidTr="008A640C">
        <w:tc>
          <w:tcPr>
            <w:tcW w:w="2802" w:type="dxa"/>
          </w:tcPr>
          <w:p w:rsidR="00581CB7" w:rsidRPr="005C44F4" w:rsidRDefault="00581CB7" w:rsidP="00581CB7">
            <w:pPr>
              <w:pStyle w:val="ListParagraph"/>
              <w:ind w:left="0"/>
              <w:rPr>
                <w:rFonts w:asciiTheme="minorHAnsi" w:hAnsiTheme="minorHAnsi"/>
                <w:b/>
                <w:sz w:val="22"/>
                <w:szCs w:val="22"/>
              </w:rPr>
            </w:pPr>
            <w:r w:rsidRPr="005C44F4">
              <w:rPr>
                <w:rFonts w:asciiTheme="minorHAnsi" w:hAnsiTheme="minorHAnsi"/>
                <w:b/>
                <w:sz w:val="22"/>
                <w:szCs w:val="22"/>
              </w:rPr>
              <w:t>Change of circumstances review</w:t>
            </w:r>
          </w:p>
        </w:tc>
        <w:tc>
          <w:tcPr>
            <w:tcW w:w="5386" w:type="dxa"/>
          </w:tcPr>
          <w:p w:rsidR="00581CB7" w:rsidRPr="005C44F4" w:rsidRDefault="00581CB7" w:rsidP="009351ED">
            <w:pPr>
              <w:pStyle w:val="ListParagraph"/>
              <w:ind w:left="0"/>
              <w:rPr>
                <w:rFonts w:asciiTheme="minorHAnsi" w:hAnsiTheme="minorHAnsi"/>
                <w:sz w:val="22"/>
                <w:szCs w:val="22"/>
              </w:rPr>
            </w:pPr>
            <w:r w:rsidRPr="005C44F4">
              <w:rPr>
                <w:rFonts w:asciiTheme="minorHAnsi" w:hAnsiTheme="minorHAnsi"/>
                <w:sz w:val="22"/>
                <w:szCs w:val="22"/>
              </w:rPr>
              <w:t>Available to reflect most changes</w:t>
            </w:r>
            <w:r>
              <w:rPr>
                <w:rFonts w:asciiTheme="minorHAnsi" w:hAnsiTheme="minorHAnsi"/>
                <w:sz w:val="22"/>
                <w:szCs w:val="22"/>
              </w:rPr>
              <w:t xml:space="preserve">, subject to the threshold that it made a difference of </w:t>
            </w:r>
            <w:r w:rsidR="009351ED">
              <w:rPr>
                <w:rFonts w:asciiTheme="minorHAnsi" w:hAnsiTheme="minorHAnsi"/>
                <w:sz w:val="22"/>
                <w:szCs w:val="22"/>
              </w:rPr>
              <w:t>roughly £15 pw</w:t>
            </w:r>
          </w:p>
        </w:tc>
        <w:tc>
          <w:tcPr>
            <w:tcW w:w="6521" w:type="dxa"/>
            <w:gridSpan w:val="2"/>
          </w:tcPr>
          <w:p w:rsidR="00D85581" w:rsidRDefault="00D85581" w:rsidP="00581CB7">
            <w:pPr>
              <w:pStyle w:val="ListParagraph"/>
              <w:ind w:left="0"/>
              <w:rPr>
                <w:rFonts w:asciiTheme="minorHAnsi" w:hAnsiTheme="minorHAnsi"/>
                <w:sz w:val="22"/>
                <w:szCs w:val="22"/>
              </w:rPr>
            </w:pPr>
            <w:r>
              <w:rPr>
                <w:rFonts w:asciiTheme="minorHAnsi" w:hAnsiTheme="minorHAnsi"/>
                <w:sz w:val="22"/>
                <w:szCs w:val="22"/>
              </w:rPr>
              <w:t>R</w:t>
            </w:r>
            <w:r w:rsidR="00581CB7">
              <w:rPr>
                <w:rFonts w:asciiTheme="minorHAnsi" w:hAnsiTheme="minorHAnsi"/>
                <w:sz w:val="22"/>
                <w:szCs w:val="22"/>
              </w:rPr>
              <w:t xml:space="preserve">eassessments to be carried out each year on the previous year’s declared income.  </w:t>
            </w:r>
          </w:p>
          <w:p w:rsidR="00581CB7" w:rsidRDefault="00581CB7" w:rsidP="00D85581">
            <w:pPr>
              <w:pStyle w:val="ListParagraph"/>
              <w:ind w:left="0"/>
              <w:rPr>
                <w:rFonts w:asciiTheme="minorHAnsi" w:hAnsiTheme="minorHAnsi"/>
                <w:sz w:val="22"/>
                <w:szCs w:val="22"/>
              </w:rPr>
            </w:pPr>
            <w:r>
              <w:rPr>
                <w:rFonts w:asciiTheme="minorHAnsi" w:hAnsiTheme="minorHAnsi"/>
                <w:sz w:val="22"/>
                <w:szCs w:val="22"/>
              </w:rPr>
              <w:t xml:space="preserve">Changes in the meantime where </w:t>
            </w:r>
            <w:r w:rsidR="00D85581">
              <w:rPr>
                <w:rFonts w:asciiTheme="minorHAnsi" w:hAnsiTheme="minorHAnsi"/>
                <w:sz w:val="22"/>
                <w:szCs w:val="22"/>
              </w:rPr>
              <w:t>a</w:t>
            </w:r>
            <w:r>
              <w:rPr>
                <w:rFonts w:asciiTheme="minorHAnsi" w:hAnsiTheme="minorHAnsi"/>
                <w:sz w:val="22"/>
                <w:szCs w:val="22"/>
              </w:rPr>
              <w:t xml:space="preserve"> 25%</w:t>
            </w:r>
            <w:r w:rsidR="00D85581">
              <w:rPr>
                <w:rFonts w:asciiTheme="minorHAnsi" w:hAnsiTheme="minorHAnsi"/>
                <w:sz w:val="22"/>
                <w:szCs w:val="22"/>
              </w:rPr>
              <w:t>+</w:t>
            </w:r>
            <w:r>
              <w:rPr>
                <w:rFonts w:asciiTheme="minorHAnsi" w:hAnsiTheme="minorHAnsi"/>
                <w:sz w:val="22"/>
                <w:szCs w:val="22"/>
              </w:rPr>
              <w:t xml:space="preserve"> change of income</w:t>
            </w:r>
          </w:p>
        </w:tc>
      </w:tr>
      <w:tr w:rsidR="00581CB7" w:rsidRPr="005C44F4" w:rsidTr="008A640C">
        <w:tc>
          <w:tcPr>
            <w:tcW w:w="2802" w:type="dxa"/>
          </w:tcPr>
          <w:p w:rsidR="00581CB7" w:rsidRPr="005C44F4" w:rsidRDefault="00581CB7" w:rsidP="00581CB7">
            <w:pPr>
              <w:pStyle w:val="ListParagraph"/>
              <w:ind w:left="0"/>
              <w:rPr>
                <w:rFonts w:asciiTheme="minorHAnsi" w:hAnsiTheme="minorHAnsi"/>
                <w:b/>
                <w:sz w:val="22"/>
                <w:szCs w:val="22"/>
              </w:rPr>
            </w:pPr>
            <w:r>
              <w:rPr>
                <w:rFonts w:asciiTheme="minorHAnsi" w:hAnsiTheme="minorHAnsi"/>
                <w:b/>
                <w:sz w:val="22"/>
                <w:szCs w:val="22"/>
              </w:rPr>
              <w:t>Duties to report changes of circumstance</w:t>
            </w:r>
          </w:p>
        </w:tc>
        <w:tc>
          <w:tcPr>
            <w:tcW w:w="5386" w:type="dxa"/>
          </w:tcPr>
          <w:p w:rsidR="00581CB7" w:rsidRPr="005C44F4" w:rsidRDefault="008A640C" w:rsidP="00581CB7">
            <w:pPr>
              <w:pStyle w:val="ListParagraph"/>
              <w:ind w:left="0"/>
              <w:rPr>
                <w:rFonts w:asciiTheme="minorHAnsi" w:hAnsiTheme="minorHAnsi"/>
                <w:sz w:val="22"/>
                <w:szCs w:val="22"/>
              </w:rPr>
            </w:pPr>
            <w:r>
              <w:rPr>
                <w:rFonts w:asciiTheme="minorHAnsi" w:hAnsiTheme="minorHAnsi"/>
                <w:sz w:val="22"/>
                <w:szCs w:val="22"/>
              </w:rPr>
              <w:t>Minimal duties on PWC where child falls out of the scheme</w:t>
            </w:r>
            <w:r w:rsidR="009351ED">
              <w:rPr>
                <w:rFonts w:asciiTheme="minorHAnsi" w:hAnsiTheme="minorHAnsi"/>
                <w:sz w:val="22"/>
                <w:szCs w:val="22"/>
              </w:rPr>
              <w:t>.</w:t>
            </w:r>
            <w:r>
              <w:rPr>
                <w:rFonts w:asciiTheme="minorHAnsi" w:hAnsiTheme="minorHAnsi"/>
                <w:sz w:val="22"/>
                <w:szCs w:val="22"/>
              </w:rPr>
              <w:t xml:space="preserve"> </w:t>
            </w:r>
          </w:p>
        </w:tc>
        <w:tc>
          <w:tcPr>
            <w:tcW w:w="6521" w:type="dxa"/>
            <w:gridSpan w:val="2"/>
          </w:tcPr>
          <w:p w:rsidR="008A640C" w:rsidRDefault="009351ED" w:rsidP="009351ED">
            <w:pPr>
              <w:pStyle w:val="ListParagraph"/>
              <w:ind w:left="0"/>
              <w:rPr>
                <w:rFonts w:asciiTheme="minorHAnsi" w:hAnsiTheme="minorHAnsi"/>
                <w:sz w:val="22"/>
                <w:szCs w:val="22"/>
              </w:rPr>
            </w:pPr>
            <w:r>
              <w:rPr>
                <w:rFonts w:asciiTheme="minorHAnsi" w:hAnsiTheme="minorHAnsi"/>
                <w:sz w:val="22"/>
                <w:szCs w:val="22"/>
              </w:rPr>
              <w:t xml:space="preserve">Now, additional duties on NRP to report </w:t>
            </w:r>
            <w:r w:rsidR="008A640C">
              <w:rPr>
                <w:rFonts w:asciiTheme="minorHAnsi" w:hAnsiTheme="minorHAnsi"/>
                <w:sz w:val="22"/>
                <w:szCs w:val="22"/>
              </w:rPr>
              <w:t>change of address</w:t>
            </w:r>
            <w:r>
              <w:rPr>
                <w:rFonts w:asciiTheme="minorHAnsi" w:hAnsiTheme="minorHAnsi"/>
                <w:sz w:val="22"/>
                <w:szCs w:val="22"/>
              </w:rPr>
              <w:t>.</w:t>
            </w:r>
          </w:p>
        </w:tc>
      </w:tr>
    </w:tbl>
    <w:p w:rsidR="00581CB7" w:rsidRDefault="00581CB7" w:rsidP="00581CB7">
      <w:pPr>
        <w:pStyle w:val="ListParagraph"/>
        <w:ind w:left="0"/>
        <w:rPr>
          <w:rFonts w:asciiTheme="minorHAnsi" w:hAnsiTheme="minorHAnsi"/>
          <w:sz w:val="22"/>
          <w:szCs w:val="22"/>
        </w:rPr>
      </w:pPr>
    </w:p>
    <w:p w:rsidR="007056E3" w:rsidRDefault="007056E3" w:rsidP="00581CB7">
      <w:bookmarkStart w:id="0" w:name="_GoBack"/>
      <w:bookmarkEnd w:id="0"/>
    </w:p>
    <w:sectPr w:rsidR="007056E3" w:rsidSect="007056E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5B5" w:rsidRDefault="00BE35B5" w:rsidP="00F73B02">
      <w:pPr>
        <w:spacing w:after="0" w:line="240" w:lineRule="auto"/>
      </w:pPr>
      <w:r>
        <w:separator/>
      </w:r>
    </w:p>
  </w:endnote>
  <w:endnote w:type="continuationSeparator" w:id="0">
    <w:p w:rsidR="00BE35B5" w:rsidRDefault="00BE35B5" w:rsidP="00F73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5B5" w:rsidRDefault="00BE35B5" w:rsidP="00F73B02">
      <w:pPr>
        <w:spacing w:after="0" w:line="240" w:lineRule="auto"/>
      </w:pPr>
      <w:r>
        <w:separator/>
      </w:r>
    </w:p>
  </w:footnote>
  <w:footnote w:type="continuationSeparator" w:id="0">
    <w:p w:rsidR="00BE35B5" w:rsidRDefault="00BE35B5" w:rsidP="00F73B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7C6A24"/>
    <w:multiLevelType w:val="hybridMultilevel"/>
    <w:tmpl w:val="8D58E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073C4A"/>
    <w:multiLevelType w:val="hybridMultilevel"/>
    <w:tmpl w:val="2D80DAAA"/>
    <w:lvl w:ilvl="0" w:tplc="19A4F4A8">
      <w:start w:val="199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26062D"/>
    <w:multiLevelType w:val="hybridMultilevel"/>
    <w:tmpl w:val="520AC1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48653B6"/>
    <w:multiLevelType w:val="hybridMultilevel"/>
    <w:tmpl w:val="60004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A04F1"/>
    <w:rsid w:val="00015B1B"/>
    <w:rsid w:val="000C0B50"/>
    <w:rsid w:val="00141EAF"/>
    <w:rsid w:val="001458C8"/>
    <w:rsid w:val="00154505"/>
    <w:rsid w:val="001B5F91"/>
    <w:rsid w:val="001C1D49"/>
    <w:rsid w:val="00212B7E"/>
    <w:rsid w:val="003016CB"/>
    <w:rsid w:val="0032525F"/>
    <w:rsid w:val="003D17F3"/>
    <w:rsid w:val="003F3C79"/>
    <w:rsid w:val="00466304"/>
    <w:rsid w:val="00475210"/>
    <w:rsid w:val="004A1E86"/>
    <w:rsid w:val="0050336E"/>
    <w:rsid w:val="00506EBF"/>
    <w:rsid w:val="00524A89"/>
    <w:rsid w:val="00581CB7"/>
    <w:rsid w:val="005858BA"/>
    <w:rsid w:val="006752C3"/>
    <w:rsid w:val="007056E3"/>
    <w:rsid w:val="007C503E"/>
    <w:rsid w:val="008747C3"/>
    <w:rsid w:val="008755FE"/>
    <w:rsid w:val="008A640C"/>
    <w:rsid w:val="00914020"/>
    <w:rsid w:val="009351ED"/>
    <w:rsid w:val="00B25191"/>
    <w:rsid w:val="00BE35B5"/>
    <w:rsid w:val="00D25BC7"/>
    <w:rsid w:val="00D55ADF"/>
    <w:rsid w:val="00D67887"/>
    <w:rsid w:val="00D85581"/>
    <w:rsid w:val="00DA04F1"/>
    <w:rsid w:val="00DA4D94"/>
    <w:rsid w:val="00E7581D"/>
    <w:rsid w:val="00EA0843"/>
    <w:rsid w:val="00F3494D"/>
    <w:rsid w:val="00F652B0"/>
    <w:rsid w:val="00F73B02"/>
    <w:rsid w:val="00F96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F6C708-6584-48E9-B3FD-657FE30DB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52B0"/>
    <w:rPr>
      <w:color w:val="0000FF"/>
      <w:u w:val="single"/>
    </w:rPr>
  </w:style>
  <w:style w:type="table" w:styleId="TableGrid">
    <w:name w:val="Table Grid"/>
    <w:basedOn w:val="TableNormal"/>
    <w:uiPriority w:val="59"/>
    <w:rsid w:val="00581CB7"/>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81CB7"/>
    <w:pPr>
      <w:spacing w:after="0" w:line="240" w:lineRule="auto"/>
      <w:ind w:left="720"/>
      <w:contextualSpacing/>
    </w:pPr>
    <w:rPr>
      <w:rFonts w:ascii="Arial" w:eastAsia="Times New Roman" w:hAnsi="Arial" w:cs="Times New Roman"/>
      <w:sz w:val="24"/>
      <w:szCs w:val="24"/>
      <w:lang w:eastAsia="en-GB"/>
    </w:rPr>
  </w:style>
  <w:style w:type="character" w:styleId="FootnoteReference">
    <w:name w:val="footnote reference"/>
    <w:basedOn w:val="DefaultParagraphFont"/>
    <w:uiPriority w:val="99"/>
    <w:rsid w:val="00F73B02"/>
    <w:rPr>
      <w:rFonts w:cs="Times New Roman"/>
      <w:vertAlign w:val="superscript"/>
    </w:rPr>
  </w:style>
  <w:style w:type="paragraph" w:styleId="Header">
    <w:name w:val="header"/>
    <w:basedOn w:val="Normal"/>
    <w:link w:val="HeaderChar"/>
    <w:uiPriority w:val="99"/>
    <w:semiHidden/>
    <w:unhideWhenUsed/>
    <w:rsid w:val="00212B7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2B7E"/>
  </w:style>
  <w:style w:type="paragraph" w:styleId="Footer">
    <w:name w:val="footer"/>
    <w:basedOn w:val="Normal"/>
    <w:link w:val="FooterChar"/>
    <w:uiPriority w:val="99"/>
    <w:unhideWhenUsed/>
    <w:rsid w:val="00212B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B7E"/>
  </w:style>
  <w:style w:type="paragraph" w:styleId="BalloonText">
    <w:name w:val="Balloon Text"/>
    <w:basedOn w:val="Normal"/>
    <w:link w:val="BalloonTextChar"/>
    <w:uiPriority w:val="99"/>
    <w:semiHidden/>
    <w:unhideWhenUsed/>
    <w:rsid w:val="001B5F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F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Pirrie</dc:creator>
  <cp:lastModifiedBy>James  Pirrie</cp:lastModifiedBy>
  <cp:revision>3</cp:revision>
  <cp:lastPrinted>2013-11-08T07:45:00Z</cp:lastPrinted>
  <dcterms:created xsi:type="dcterms:W3CDTF">2014-02-27T09:32:00Z</dcterms:created>
  <dcterms:modified xsi:type="dcterms:W3CDTF">2015-04-03T15:09:00Z</dcterms:modified>
</cp:coreProperties>
</file>