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795" w:rsidRPr="00E76E93" w:rsidRDefault="00C63795" w:rsidP="00C63795">
      <w:pPr>
        <w:pStyle w:val="NoSpacing"/>
        <w:jc w:val="center"/>
        <w:rPr>
          <w:rFonts w:ascii="Verdana" w:eastAsiaTheme="majorEastAsia" w:hAnsi="Verdana" w:cstheme="majorBidi"/>
          <w:b/>
          <w:bCs/>
          <w:color w:val="4F81BD" w:themeColor="accent1"/>
          <w:sz w:val="32"/>
          <w:szCs w:val="32"/>
        </w:rPr>
      </w:pPr>
      <w:r w:rsidRPr="00E76E93">
        <w:rPr>
          <w:rFonts w:ascii="Verdana" w:eastAsiaTheme="majorEastAsia" w:hAnsi="Verdana" w:cstheme="majorBidi"/>
          <w:b/>
          <w:bCs/>
          <w:color w:val="4F81BD" w:themeColor="accent1"/>
          <w:sz w:val="32"/>
          <w:szCs w:val="32"/>
        </w:rPr>
        <w:t xml:space="preserve"> </w:t>
      </w:r>
      <w:r w:rsidRPr="00255CE2">
        <w:rPr>
          <w:rFonts w:ascii="Verdana" w:eastAsiaTheme="majorEastAsia" w:hAnsi="Verdana" w:cstheme="majorBidi"/>
          <w:b/>
          <w:bCs/>
          <w:color w:val="4F81BD" w:themeColor="accent1"/>
          <w:sz w:val="32"/>
          <w:szCs w:val="32"/>
          <w:highlight w:val="yellow"/>
        </w:rPr>
        <w:t>[INSERT</w:t>
      </w:r>
      <w:r w:rsidR="00255CE2" w:rsidRPr="00255CE2">
        <w:rPr>
          <w:rFonts w:ascii="Verdana" w:eastAsiaTheme="majorEastAsia" w:hAnsi="Verdana" w:cstheme="majorBidi"/>
          <w:b/>
          <w:bCs/>
          <w:color w:val="4F81BD" w:themeColor="accent1"/>
          <w:sz w:val="32"/>
          <w:szCs w:val="32"/>
          <w:highlight w:val="yellow"/>
        </w:rPr>
        <w:t xml:space="preserve"> CLINIC</w:t>
      </w:r>
      <w:r w:rsidRPr="00255CE2">
        <w:rPr>
          <w:rFonts w:ascii="Verdana" w:eastAsiaTheme="majorEastAsia" w:hAnsi="Verdana" w:cstheme="majorBidi"/>
          <w:b/>
          <w:bCs/>
          <w:color w:val="4F81BD" w:themeColor="accent1"/>
          <w:sz w:val="32"/>
          <w:szCs w:val="32"/>
          <w:highlight w:val="yellow"/>
        </w:rPr>
        <w:t xml:space="preserve"> NAME]</w:t>
      </w:r>
    </w:p>
    <w:p w:rsidR="00C63795" w:rsidRPr="00E76E93" w:rsidRDefault="00C63795" w:rsidP="00C63795">
      <w:pPr>
        <w:pStyle w:val="NoSpacing"/>
        <w:jc w:val="center"/>
        <w:rPr>
          <w:rFonts w:ascii="Verdana" w:eastAsiaTheme="majorEastAsia" w:hAnsi="Verdana" w:cstheme="majorBidi"/>
          <w:b/>
          <w:bCs/>
          <w:color w:val="4F81BD" w:themeColor="accent1"/>
          <w:sz w:val="32"/>
          <w:szCs w:val="32"/>
        </w:rPr>
      </w:pPr>
      <w:r w:rsidRPr="00E76E93">
        <w:rPr>
          <w:rFonts w:ascii="Verdana" w:eastAsiaTheme="majorEastAsia" w:hAnsi="Verdana" w:cstheme="majorBidi"/>
          <w:b/>
          <w:bCs/>
          <w:color w:val="4F81BD" w:themeColor="accent1"/>
          <w:sz w:val="32"/>
          <w:szCs w:val="32"/>
        </w:rPr>
        <w:t xml:space="preserve">Confidentiality </w:t>
      </w:r>
      <w:r w:rsidR="00E169E9">
        <w:rPr>
          <w:rFonts w:ascii="Verdana" w:eastAsiaTheme="majorEastAsia" w:hAnsi="Verdana" w:cstheme="majorBidi"/>
          <w:b/>
          <w:bCs/>
          <w:color w:val="4F81BD" w:themeColor="accent1"/>
          <w:sz w:val="32"/>
          <w:szCs w:val="32"/>
        </w:rPr>
        <w:t>Policy</w:t>
      </w:r>
    </w:p>
    <w:p w:rsidR="00C63795" w:rsidRPr="00CA6A01" w:rsidRDefault="00C63795" w:rsidP="00C63795">
      <w:pPr>
        <w:rPr>
          <w:rFonts w:ascii="FS Albert" w:hAnsi="FS Albert"/>
        </w:rPr>
      </w:pPr>
    </w:p>
    <w:p w:rsidR="00E169E9" w:rsidRPr="00DE1F9F" w:rsidRDefault="00E169E9" w:rsidP="00E169E9">
      <w:pPr>
        <w:pStyle w:val="Heading2"/>
        <w:rPr>
          <w:b w:val="0"/>
          <w:bCs w:val="0"/>
          <w:lang w:val="en"/>
        </w:rPr>
      </w:pPr>
      <w:bookmarkStart w:id="0" w:name="_Toc444604671"/>
      <w:r w:rsidRPr="00E169E9">
        <w:rPr>
          <w:rFonts w:ascii="Verdana" w:hAnsi="Verdana"/>
        </w:rPr>
        <w:t>1 Introduction</w:t>
      </w:r>
      <w:bookmarkEnd w:id="0"/>
    </w:p>
    <w:p w:rsidR="00E169E9" w:rsidRDefault="00E169E9" w:rsidP="00E169E9">
      <w:pPr>
        <w:rPr>
          <w:rFonts w:ascii="Arial" w:hAnsi="Arial" w:cs="Arial"/>
          <w:sz w:val="24"/>
          <w:lang w:val="en"/>
        </w:rPr>
      </w:pPr>
      <w:r w:rsidRPr="00E169E9">
        <w:rPr>
          <w:rFonts w:ascii="Arial" w:hAnsi="Arial" w:cs="Arial"/>
          <w:sz w:val="24"/>
          <w:lang w:val="en"/>
        </w:rPr>
        <w:t xml:space="preserve">Confidentiality is a fundamental principle of </w:t>
      </w:r>
      <w:r w:rsidRPr="00E169E9">
        <w:rPr>
          <w:rFonts w:ascii="Arial" w:hAnsi="Arial" w:cs="Arial"/>
          <w:sz w:val="24"/>
          <w:highlight w:val="yellow"/>
          <w:lang w:val="en"/>
        </w:rPr>
        <w:t>[name of clinic]</w:t>
      </w:r>
      <w:r w:rsidRPr="00E169E9">
        <w:rPr>
          <w:rFonts w:ascii="Arial" w:hAnsi="Arial" w:cs="Arial"/>
          <w:sz w:val="24"/>
          <w:lang w:val="en"/>
        </w:rPr>
        <w:t>. This guidance is designed to help volunteers apply the principle in a range of different circumstances. It cannot cover every possible situation and volunteers should contact their supervisor if further clarity is required.</w:t>
      </w:r>
    </w:p>
    <w:p w:rsidR="00856DF5" w:rsidRPr="00856DF5" w:rsidRDefault="00856DF5" w:rsidP="00856DF5">
      <w:pPr>
        <w:pStyle w:val="Heading2"/>
        <w:rPr>
          <w:rFonts w:ascii="Verdana" w:hAnsi="Verdana"/>
        </w:rPr>
      </w:pPr>
      <w:bookmarkStart w:id="1" w:name="_Toc444604672"/>
      <w:r w:rsidRPr="00856DF5">
        <w:rPr>
          <w:rFonts w:ascii="Verdana" w:hAnsi="Verdana"/>
        </w:rPr>
        <w:t>2 The principle of confidentiality</w:t>
      </w:r>
      <w:bookmarkEnd w:id="1"/>
    </w:p>
    <w:p w:rsidR="00856DF5" w:rsidRPr="00856DF5" w:rsidRDefault="00856DF5" w:rsidP="00856DF5">
      <w:pPr>
        <w:rPr>
          <w:rFonts w:ascii="Arial" w:hAnsi="Arial" w:cs="Arial"/>
          <w:sz w:val="24"/>
          <w:lang w:val="en"/>
        </w:rPr>
      </w:pPr>
      <w:r w:rsidRPr="00856DF5">
        <w:rPr>
          <w:rFonts w:ascii="Arial" w:hAnsi="Arial" w:cs="Arial"/>
          <w:sz w:val="24"/>
          <w:highlight w:val="yellow"/>
          <w:lang w:val="en"/>
        </w:rPr>
        <w:t>[Name of clinic]</w:t>
      </w:r>
      <w:r w:rsidRPr="00856DF5">
        <w:rPr>
          <w:rFonts w:ascii="Arial" w:hAnsi="Arial" w:cs="Arial"/>
          <w:sz w:val="24"/>
          <w:lang w:val="en"/>
        </w:rPr>
        <w:t xml:space="preserve"> provides a confidential service to clients.</w:t>
      </w:r>
    </w:p>
    <w:p w:rsidR="00856DF5" w:rsidRPr="00856DF5" w:rsidRDefault="00856DF5" w:rsidP="00856DF5">
      <w:pPr>
        <w:rPr>
          <w:rFonts w:ascii="Arial" w:hAnsi="Arial" w:cs="Arial"/>
          <w:sz w:val="24"/>
          <w:lang w:val="en"/>
        </w:rPr>
      </w:pPr>
      <w:r w:rsidRPr="00856DF5">
        <w:rPr>
          <w:rFonts w:ascii="Arial" w:hAnsi="Arial" w:cs="Arial"/>
          <w:sz w:val="24"/>
          <w:lang w:val="en"/>
        </w:rPr>
        <w:t xml:space="preserve">Nothing learned during the course of dealing with a client (including the fact that an enquiry has been made) will be passed to anyone outside the service without the client's express permission (other than in exceptional circumstances)*. </w:t>
      </w:r>
    </w:p>
    <w:p w:rsidR="00856DF5" w:rsidRPr="00856DF5" w:rsidRDefault="00856DF5" w:rsidP="00856DF5">
      <w:pPr>
        <w:numPr>
          <w:ilvl w:val="0"/>
          <w:numId w:val="2"/>
        </w:numPr>
        <w:spacing w:after="0"/>
        <w:rPr>
          <w:rFonts w:ascii="Arial" w:hAnsi="Arial" w:cs="Arial"/>
          <w:sz w:val="24"/>
          <w:lang w:val="en"/>
        </w:rPr>
      </w:pPr>
      <w:r w:rsidRPr="00856DF5">
        <w:rPr>
          <w:rFonts w:ascii="Arial" w:hAnsi="Arial" w:cs="Arial"/>
          <w:sz w:val="24"/>
          <w:lang w:val="en"/>
        </w:rPr>
        <w:t>Interviews are h</w:t>
      </w:r>
      <w:r w:rsidR="003626D2">
        <w:rPr>
          <w:rFonts w:ascii="Arial" w:hAnsi="Arial" w:cs="Arial"/>
          <w:sz w:val="24"/>
          <w:lang w:val="en"/>
        </w:rPr>
        <w:t>eld in visual and aural privacy;</w:t>
      </w:r>
      <w:r w:rsidRPr="00856DF5">
        <w:rPr>
          <w:rFonts w:ascii="Arial" w:hAnsi="Arial" w:cs="Arial"/>
          <w:sz w:val="24"/>
          <w:lang w:val="en"/>
        </w:rPr>
        <w:t xml:space="preserve"> </w:t>
      </w:r>
    </w:p>
    <w:p w:rsidR="00856DF5" w:rsidRPr="003626D2" w:rsidRDefault="00856DF5" w:rsidP="003626D2">
      <w:pPr>
        <w:numPr>
          <w:ilvl w:val="0"/>
          <w:numId w:val="2"/>
        </w:numPr>
        <w:spacing w:after="0"/>
        <w:rPr>
          <w:rFonts w:ascii="Arial" w:hAnsi="Arial" w:cs="Arial"/>
          <w:sz w:val="24"/>
          <w:lang w:val="en"/>
        </w:rPr>
      </w:pPr>
      <w:r w:rsidRPr="00856DF5">
        <w:rPr>
          <w:rFonts w:ascii="Arial" w:hAnsi="Arial" w:cs="Arial"/>
          <w:sz w:val="24"/>
          <w:lang w:val="en"/>
        </w:rPr>
        <w:t>Clients are not required to state the nature of t</w:t>
      </w:r>
      <w:r w:rsidR="003626D2">
        <w:rPr>
          <w:rFonts w:ascii="Arial" w:hAnsi="Arial" w:cs="Arial"/>
          <w:sz w:val="24"/>
          <w:lang w:val="en"/>
        </w:rPr>
        <w:t>heir enquiry in front of others; and</w:t>
      </w:r>
      <w:r w:rsidRPr="003626D2">
        <w:rPr>
          <w:rFonts w:ascii="Arial" w:hAnsi="Arial" w:cs="Arial"/>
          <w:sz w:val="24"/>
          <w:lang w:val="en"/>
        </w:rPr>
        <w:t xml:space="preserve"> </w:t>
      </w:r>
    </w:p>
    <w:p w:rsidR="00856DF5" w:rsidRPr="00856DF5" w:rsidRDefault="00856DF5" w:rsidP="00856DF5">
      <w:pPr>
        <w:numPr>
          <w:ilvl w:val="0"/>
          <w:numId w:val="2"/>
        </w:numPr>
        <w:spacing w:after="120"/>
        <w:ind w:left="714" w:hanging="357"/>
        <w:rPr>
          <w:rFonts w:ascii="Arial" w:hAnsi="Arial" w:cs="Arial"/>
          <w:sz w:val="24"/>
          <w:lang w:val="en"/>
        </w:rPr>
      </w:pPr>
      <w:r w:rsidRPr="00856DF5">
        <w:rPr>
          <w:rFonts w:ascii="Arial" w:hAnsi="Arial" w:cs="Arial"/>
          <w:sz w:val="24"/>
          <w:lang w:val="en"/>
        </w:rPr>
        <w:t xml:space="preserve">Referrals are made only with the knowledge and consent of the client. </w:t>
      </w:r>
    </w:p>
    <w:p w:rsidR="00856DF5" w:rsidRPr="00856DF5" w:rsidRDefault="00856DF5" w:rsidP="00856DF5">
      <w:pPr>
        <w:rPr>
          <w:rFonts w:ascii="Arial" w:hAnsi="Arial" w:cs="Arial"/>
          <w:sz w:val="24"/>
          <w:lang w:val="en"/>
        </w:rPr>
      </w:pPr>
      <w:r w:rsidRPr="00856DF5">
        <w:rPr>
          <w:rFonts w:ascii="Arial" w:hAnsi="Arial" w:cs="Arial"/>
          <w:sz w:val="24"/>
          <w:lang w:val="en"/>
        </w:rPr>
        <w:t xml:space="preserve">If a client agrees to information being given to a third party, there is no breach of confidentiality. </w:t>
      </w:r>
    </w:p>
    <w:p w:rsidR="00856DF5" w:rsidRPr="00856DF5" w:rsidRDefault="00856DF5" w:rsidP="00856DF5">
      <w:pPr>
        <w:rPr>
          <w:rFonts w:ascii="Arial" w:hAnsi="Arial" w:cs="Arial"/>
          <w:sz w:val="24"/>
          <w:lang w:val="en"/>
        </w:rPr>
      </w:pPr>
      <w:r w:rsidRPr="00856DF5">
        <w:rPr>
          <w:rFonts w:ascii="Arial" w:hAnsi="Arial" w:cs="Arial"/>
          <w:sz w:val="24"/>
          <w:lang w:val="en"/>
        </w:rPr>
        <w:t xml:space="preserve">*A breach of confidentiality will be authorised </w:t>
      </w:r>
      <w:r>
        <w:rPr>
          <w:rFonts w:ascii="Arial" w:hAnsi="Arial" w:cs="Arial"/>
          <w:sz w:val="24"/>
          <w:lang w:val="en"/>
        </w:rPr>
        <w:t xml:space="preserve">only </w:t>
      </w:r>
      <w:r w:rsidRPr="00856DF5">
        <w:rPr>
          <w:rFonts w:ascii="Arial" w:hAnsi="Arial" w:cs="Arial"/>
          <w:sz w:val="24"/>
          <w:lang w:val="en"/>
        </w:rPr>
        <w:t>in exceptional circumstances</w:t>
      </w:r>
      <w:r>
        <w:rPr>
          <w:rFonts w:ascii="Arial" w:hAnsi="Arial" w:cs="Arial"/>
          <w:sz w:val="24"/>
          <w:lang w:val="en"/>
        </w:rPr>
        <w:t>.</w:t>
      </w:r>
    </w:p>
    <w:p w:rsidR="00856DF5" w:rsidRPr="00856DF5" w:rsidRDefault="00856DF5" w:rsidP="00856DF5">
      <w:pPr>
        <w:pStyle w:val="Heading2"/>
        <w:rPr>
          <w:rFonts w:ascii="Verdana" w:hAnsi="Verdana"/>
        </w:rPr>
      </w:pPr>
      <w:bookmarkStart w:id="2" w:name="_Toc444604673"/>
      <w:r w:rsidRPr="00856DF5">
        <w:rPr>
          <w:rFonts w:ascii="Verdana" w:hAnsi="Verdana"/>
        </w:rPr>
        <w:t>3 Protecting confidentiality</w:t>
      </w:r>
      <w:bookmarkEnd w:id="2"/>
    </w:p>
    <w:p w:rsidR="00856DF5" w:rsidRPr="00856DF5" w:rsidRDefault="00856DF5" w:rsidP="00856DF5">
      <w:pPr>
        <w:rPr>
          <w:rFonts w:ascii="Arial" w:hAnsi="Arial" w:cs="Arial"/>
          <w:sz w:val="24"/>
          <w:lang w:val="en"/>
        </w:rPr>
      </w:pPr>
      <w:r w:rsidRPr="00856DF5">
        <w:rPr>
          <w:rFonts w:ascii="Arial" w:hAnsi="Arial" w:cs="Arial"/>
          <w:sz w:val="24"/>
          <w:lang w:val="en"/>
        </w:rPr>
        <w:t xml:space="preserve">Everyone participating in the </w:t>
      </w:r>
      <w:r w:rsidRPr="00856DF5">
        <w:rPr>
          <w:rFonts w:ascii="Arial" w:hAnsi="Arial" w:cs="Arial"/>
          <w:sz w:val="24"/>
          <w:highlight w:val="yellow"/>
          <w:lang w:val="en"/>
        </w:rPr>
        <w:t>[name of clinic]</w:t>
      </w:r>
      <w:r w:rsidRPr="00856DF5">
        <w:rPr>
          <w:rFonts w:ascii="Arial" w:hAnsi="Arial" w:cs="Arial"/>
          <w:sz w:val="24"/>
          <w:lang w:val="en"/>
        </w:rPr>
        <w:t xml:space="preserve"> must have an understanding of the confidentiality policy and its importance and should sign </w:t>
      </w:r>
      <w:r w:rsidRPr="00D65AF4">
        <w:rPr>
          <w:rFonts w:ascii="Arial" w:hAnsi="Arial" w:cs="Arial"/>
          <w:sz w:val="24"/>
          <w:lang w:val="en"/>
        </w:rPr>
        <w:t xml:space="preserve">the </w:t>
      </w:r>
      <w:bookmarkStart w:id="3" w:name="_GoBack"/>
      <w:bookmarkEnd w:id="3"/>
      <w:r w:rsidR="003626D2" w:rsidRPr="003626D2">
        <w:rPr>
          <w:rFonts w:ascii="Arial" w:hAnsi="Arial" w:cs="Arial"/>
          <w:sz w:val="24"/>
          <w:highlight w:val="yellow"/>
          <w:lang w:val="en"/>
        </w:rPr>
        <w:t>[</w:t>
      </w:r>
      <w:r w:rsidRPr="003626D2">
        <w:rPr>
          <w:rFonts w:ascii="Arial" w:hAnsi="Arial" w:cs="Arial"/>
          <w:sz w:val="24"/>
          <w:highlight w:val="yellow"/>
          <w:lang w:val="en"/>
        </w:rPr>
        <w:t xml:space="preserve">confidentiality </w:t>
      </w:r>
      <w:r w:rsidR="003626D2" w:rsidRPr="003626D2">
        <w:rPr>
          <w:rFonts w:ascii="Arial" w:hAnsi="Arial" w:cs="Arial"/>
          <w:sz w:val="24"/>
          <w:highlight w:val="yellow"/>
          <w:lang w:val="en"/>
        </w:rPr>
        <w:t xml:space="preserve">agreement or </w:t>
      </w:r>
      <w:r w:rsidRPr="003626D2">
        <w:rPr>
          <w:rFonts w:ascii="Arial" w:hAnsi="Arial" w:cs="Arial"/>
          <w:sz w:val="24"/>
          <w:highlight w:val="yellow"/>
          <w:lang w:val="en"/>
        </w:rPr>
        <w:t>declaration</w:t>
      </w:r>
      <w:r w:rsidR="003626D2" w:rsidRPr="003626D2">
        <w:rPr>
          <w:rFonts w:ascii="Arial" w:hAnsi="Arial" w:cs="Arial"/>
          <w:sz w:val="24"/>
          <w:highlight w:val="yellow"/>
          <w:lang w:val="en"/>
        </w:rPr>
        <w:t>]</w:t>
      </w:r>
      <w:r w:rsidRPr="00856DF5">
        <w:rPr>
          <w:rFonts w:ascii="Arial" w:hAnsi="Arial" w:cs="Arial"/>
          <w:sz w:val="24"/>
          <w:lang w:val="en"/>
        </w:rPr>
        <w:t xml:space="preserve"> once they have read this guidance. This includes all volunteers, advisers, lawyers, management and administrative staff, and anyone else offering services as part of or on behalf of the </w:t>
      </w:r>
      <w:r w:rsidRPr="00856DF5">
        <w:rPr>
          <w:rFonts w:ascii="Arial" w:hAnsi="Arial" w:cs="Arial"/>
          <w:sz w:val="24"/>
          <w:highlight w:val="yellow"/>
          <w:lang w:val="en"/>
        </w:rPr>
        <w:t>[name of clinic]</w:t>
      </w:r>
      <w:r w:rsidRPr="00856DF5">
        <w:rPr>
          <w:rFonts w:ascii="Arial" w:hAnsi="Arial" w:cs="Arial"/>
          <w:sz w:val="24"/>
          <w:lang w:val="en"/>
        </w:rPr>
        <w:t>.</w:t>
      </w:r>
      <w:r w:rsidRPr="00856DF5">
        <w:rPr>
          <w:rFonts w:ascii="Arial" w:hAnsi="Arial" w:cs="Arial"/>
          <w:sz w:val="24"/>
          <w:highlight w:val="yellow"/>
          <w:lang w:val="en"/>
        </w:rPr>
        <w:t xml:space="preserve">  </w:t>
      </w:r>
    </w:p>
    <w:p w:rsidR="00856DF5" w:rsidRPr="00856DF5" w:rsidRDefault="00856DF5" w:rsidP="00856DF5">
      <w:pPr>
        <w:rPr>
          <w:rFonts w:ascii="Arial" w:hAnsi="Arial" w:cs="Arial"/>
          <w:sz w:val="24"/>
          <w:lang w:val="en"/>
        </w:rPr>
      </w:pPr>
      <w:r w:rsidRPr="00856DF5">
        <w:rPr>
          <w:rFonts w:ascii="Arial" w:hAnsi="Arial" w:cs="Arial"/>
          <w:sz w:val="24"/>
          <w:lang w:val="en"/>
        </w:rPr>
        <w:t xml:space="preserve">All volunteers of </w:t>
      </w:r>
      <w:r w:rsidRPr="00856DF5">
        <w:rPr>
          <w:rFonts w:ascii="Arial" w:hAnsi="Arial" w:cs="Arial"/>
          <w:sz w:val="24"/>
          <w:highlight w:val="yellow"/>
          <w:lang w:val="en"/>
        </w:rPr>
        <w:t>[name of clinic]</w:t>
      </w:r>
      <w:r w:rsidRPr="00856DF5">
        <w:rPr>
          <w:rFonts w:ascii="Arial" w:hAnsi="Arial" w:cs="Arial"/>
          <w:sz w:val="24"/>
          <w:lang w:val="en"/>
        </w:rPr>
        <w:t xml:space="preserve"> must have a practical understanding of what confidentiality means for the operation of the organisation. This ranges from the most practical day-to-day matters such as ensuring that lawyers do not discuss cases where they can be overheard by other clients or people not connected with the service to considering the impact of the principle on potential new services. </w:t>
      </w:r>
    </w:p>
    <w:p w:rsidR="00856DF5" w:rsidRPr="00856DF5" w:rsidRDefault="00856DF5" w:rsidP="00856DF5">
      <w:pPr>
        <w:rPr>
          <w:rFonts w:ascii="Arial" w:hAnsi="Arial" w:cs="Arial"/>
          <w:sz w:val="24"/>
          <w:lang w:val="en"/>
        </w:rPr>
      </w:pPr>
      <w:r w:rsidRPr="00856DF5">
        <w:rPr>
          <w:rFonts w:ascii="Arial" w:hAnsi="Arial" w:cs="Arial"/>
          <w:sz w:val="24"/>
          <w:lang w:val="en"/>
        </w:rPr>
        <w:t xml:space="preserve">However, some element of discretion has to be used. For instance if someone has accompanied a client to </w:t>
      </w:r>
      <w:r w:rsidRPr="00856DF5">
        <w:rPr>
          <w:rFonts w:ascii="Arial" w:hAnsi="Arial" w:cs="Arial"/>
          <w:sz w:val="24"/>
          <w:highlight w:val="yellow"/>
          <w:lang w:val="en"/>
        </w:rPr>
        <w:t>[name of clinic]</w:t>
      </w:r>
      <w:r w:rsidRPr="00856DF5">
        <w:rPr>
          <w:rFonts w:ascii="Arial" w:hAnsi="Arial" w:cs="Arial"/>
          <w:sz w:val="24"/>
          <w:lang w:val="en"/>
        </w:rPr>
        <w:t xml:space="preserve"> but left while the client is with a lawyer or volunteer, it would be permissible for that person to be told that the client is still in the office (unless the client has expressly requested that this should not happen). </w:t>
      </w:r>
    </w:p>
    <w:p w:rsidR="00856DF5" w:rsidRPr="00856DF5" w:rsidRDefault="00856DF5" w:rsidP="00856DF5">
      <w:pPr>
        <w:pStyle w:val="Heading2"/>
        <w:rPr>
          <w:rFonts w:ascii="Verdana" w:hAnsi="Verdana"/>
        </w:rPr>
      </w:pPr>
      <w:bookmarkStart w:id="4" w:name="_Toc444604674"/>
      <w:r w:rsidRPr="00856DF5">
        <w:rPr>
          <w:rFonts w:ascii="Verdana" w:hAnsi="Verdana"/>
        </w:rPr>
        <w:t>4 Breaching confidentiality</w:t>
      </w:r>
      <w:bookmarkEnd w:id="4"/>
    </w:p>
    <w:p w:rsidR="00856DF5" w:rsidRPr="00DE1F9F" w:rsidRDefault="00856DF5" w:rsidP="00856DF5">
      <w:pPr>
        <w:outlineLvl w:val="1"/>
        <w:rPr>
          <w:rFonts w:eastAsia="Times New Roman" w:cs="Arial"/>
          <w:b/>
          <w:bCs/>
          <w:sz w:val="24"/>
          <w:lang w:val="en"/>
        </w:rPr>
      </w:pPr>
    </w:p>
    <w:p w:rsidR="00856DF5" w:rsidRPr="00856DF5" w:rsidRDefault="00856DF5" w:rsidP="00856DF5">
      <w:pPr>
        <w:rPr>
          <w:rFonts w:ascii="Arial" w:hAnsi="Arial" w:cs="Arial"/>
          <w:sz w:val="24"/>
          <w:lang w:val="en"/>
        </w:rPr>
      </w:pPr>
      <w:r w:rsidRPr="00856DF5">
        <w:rPr>
          <w:rFonts w:ascii="Arial" w:hAnsi="Arial" w:cs="Arial"/>
          <w:sz w:val="24"/>
          <w:lang w:val="en"/>
        </w:rPr>
        <w:lastRenderedPageBreak/>
        <w:t>Although the overriding rule is that information about a client will not be passed on to a third party without the client’s permission, there are exceptions where there is evidence that:</w:t>
      </w:r>
    </w:p>
    <w:p w:rsidR="00856DF5" w:rsidRPr="00856DF5" w:rsidRDefault="00856DF5" w:rsidP="00856DF5">
      <w:pPr>
        <w:pStyle w:val="ListParagraph"/>
        <w:numPr>
          <w:ilvl w:val="0"/>
          <w:numId w:val="3"/>
        </w:numPr>
        <w:rPr>
          <w:rFonts w:ascii="Arial" w:hAnsi="Arial" w:cs="Arial"/>
          <w:sz w:val="24"/>
          <w:lang w:val="en"/>
        </w:rPr>
      </w:pPr>
      <w:r w:rsidRPr="00856DF5">
        <w:rPr>
          <w:rFonts w:ascii="Arial" w:hAnsi="Arial" w:cs="Arial"/>
          <w:sz w:val="24"/>
          <w:lang w:val="en"/>
        </w:rPr>
        <w:t xml:space="preserve">a client or someone else is at risk  </w:t>
      </w:r>
    </w:p>
    <w:p w:rsidR="00856DF5" w:rsidRPr="00856DF5" w:rsidRDefault="00856DF5" w:rsidP="00856DF5">
      <w:pPr>
        <w:pStyle w:val="ListParagraph"/>
        <w:numPr>
          <w:ilvl w:val="0"/>
          <w:numId w:val="3"/>
        </w:numPr>
        <w:rPr>
          <w:rFonts w:ascii="Arial" w:hAnsi="Arial" w:cs="Arial"/>
          <w:sz w:val="24"/>
          <w:lang w:val="en"/>
        </w:rPr>
      </w:pPr>
      <w:r w:rsidRPr="00856DF5">
        <w:rPr>
          <w:rFonts w:ascii="Arial" w:hAnsi="Arial" w:cs="Arial"/>
          <w:sz w:val="24"/>
          <w:lang w:val="en"/>
        </w:rPr>
        <w:t xml:space="preserve">disclosure of information is required by law </w:t>
      </w:r>
    </w:p>
    <w:p w:rsidR="00856DF5" w:rsidRPr="00856DF5" w:rsidRDefault="00856DF5" w:rsidP="00856DF5">
      <w:pPr>
        <w:rPr>
          <w:rFonts w:ascii="Arial" w:hAnsi="Arial" w:cs="Arial"/>
          <w:sz w:val="24"/>
          <w:lang w:val="en"/>
        </w:rPr>
      </w:pPr>
      <w:r w:rsidRPr="00856DF5">
        <w:rPr>
          <w:rFonts w:ascii="Arial" w:hAnsi="Arial" w:cs="Arial"/>
          <w:sz w:val="24"/>
          <w:lang w:val="en"/>
        </w:rPr>
        <w:t xml:space="preserve">A decision to breach confidentiality should always be taken very seriously. </w:t>
      </w:r>
    </w:p>
    <w:p w:rsidR="00856DF5" w:rsidRPr="00856DF5" w:rsidRDefault="00856DF5" w:rsidP="00856DF5">
      <w:pPr>
        <w:rPr>
          <w:rFonts w:ascii="Arial" w:hAnsi="Arial" w:cs="Arial"/>
          <w:sz w:val="24"/>
          <w:lang w:val="en"/>
        </w:rPr>
      </w:pPr>
      <w:r w:rsidRPr="00856DF5">
        <w:rPr>
          <w:rFonts w:ascii="Arial" w:hAnsi="Arial" w:cs="Arial"/>
          <w:sz w:val="24"/>
          <w:lang w:val="en"/>
        </w:rPr>
        <w:t xml:space="preserve">Before a breach of confidentiality is sanctioned, a judgment as to whether there is a serious risk of danger to the client or others or to </w:t>
      </w:r>
      <w:r w:rsidRPr="003626D2">
        <w:rPr>
          <w:rFonts w:ascii="Arial" w:hAnsi="Arial" w:cs="Arial"/>
          <w:sz w:val="24"/>
          <w:highlight w:val="yellow"/>
          <w:lang w:val="en"/>
        </w:rPr>
        <w:t>[name of clinic]</w:t>
      </w:r>
      <w:r w:rsidRPr="00856DF5">
        <w:rPr>
          <w:rFonts w:ascii="Arial" w:hAnsi="Arial" w:cs="Arial"/>
          <w:sz w:val="24"/>
          <w:lang w:val="en"/>
        </w:rPr>
        <w:t xml:space="preserve"> as a service provider has to be made. This decision will be based on: </w:t>
      </w:r>
    </w:p>
    <w:p w:rsidR="00856DF5" w:rsidRPr="00856DF5" w:rsidRDefault="00856DF5" w:rsidP="00856DF5">
      <w:pPr>
        <w:numPr>
          <w:ilvl w:val="0"/>
          <w:numId w:val="4"/>
        </w:numPr>
        <w:spacing w:after="0"/>
        <w:rPr>
          <w:rFonts w:ascii="Arial" w:hAnsi="Arial" w:cs="Arial"/>
          <w:sz w:val="24"/>
          <w:lang w:val="en"/>
        </w:rPr>
      </w:pPr>
      <w:r w:rsidRPr="00856DF5">
        <w:rPr>
          <w:rFonts w:ascii="Arial" w:hAnsi="Arial" w:cs="Arial"/>
          <w:sz w:val="24"/>
          <w:lang w:val="en"/>
        </w:rPr>
        <w:t>the balance of probability that such a risk exists</w:t>
      </w:r>
      <w:r w:rsidR="003626D2">
        <w:rPr>
          <w:rFonts w:ascii="Arial" w:hAnsi="Arial" w:cs="Arial"/>
          <w:sz w:val="24"/>
          <w:lang w:val="en"/>
        </w:rPr>
        <w:t>;</w:t>
      </w:r>
      <w:r w:rsidRPr="00856DF5">
        <w:rPr>
          <w:rFonts w:ascii="Arial" w:hAnsi="Arial" w:cs="Arial"/>
          <w:sz w:val="24"/>
          <w:lang w:val="en"/>
        </w:rPr>
        <w:t xml:space="preserve"> </w:t>
      </w:r>
    </w:p>
    <w:p w:rsidR="00856DF5" w:rsidRPr="00856DF5" w:rsidRDefault="00856DF5" w:rsidP="00856DF5">
      <w:pPr>
        <w:numPr>
          <w:ilvl w:val="0"/>
          <w:numId w:val="4"/>
        </w:numPr>
        <w:spacing w:after="0"/>
        <w:rPr>
          <w:rFonts w:ascii="Arial" w:hAnsi="Arial" w:cs="Arial"/>
          <w:sz w:val="24"/>
          <w:lang w:val="en"/>
        </w:rPr>
      </w:pPr>
      <w:r w:rsidRPr="00856DF5">
        <w:rPr>
          <w:rFonts w:ascii="Arial" w:hAnsi="Arial" w:cs="Arial"/>
          <w:sz w:val="24"/>
          <w:lang w:val="en"/>
        </w:rPr>
        <w:t xml:space="preserve">the likelihood of the risk </w:t>
      </w:r>
      <w:proofErr w:type="spellStart"/>
      <w:r w:rsidRPr="00856DF5">
        <w:rPr>
          <w:rFonts w:ascii="Arial" w:hAnsi="Arial" w:cs="Arial"/>
          <w:sz w:val="24"/>
          <w:lang w:val="en"/>
        </w:rPr>
        <w:t>materialising</w:t>
      </w:r>
      <w:proofErr w:type="spellEnd"/>
      <w:r w:rsidR="003626D2">
        <w:rPr>
          <w:rFonts w:ascii="Arial" w:hAnsi="Arial" w:cs="Arial"/>
          <w:sz w:val="24"/>
          <w:lang w:val="en"/>
        </w:rPr>
        <w:t>; and</w:t>
      </w:r>
      <w:r w:rsidRPr="00856DF5">
        <w:rPr>
          <w:rFonts w:ascii="Arial" w:hAnsi="Arial" w:cs="Arial"/>
          <w:sz w:val="24"/>
          <w:lang w:val="en"/>
        </w:rPr>
        <w:t xml:space="preserve"> </w:t>
      </w:r>
    </w:p>
    <w:p w:rsidR="00856DF5" w:rsidRDefault="00856DF5" w:rsidP="00856DF5">
      <w:pPr>
        <w:numPr>
          <w:ilvl w:val="0"/>
          <w:numId w:val="4"/>
        </w:numPr>
        <w:spacing w:after="240"/>
        <w:ind w:left="714" w:hanging="357"/>
        <w:rPr>
          <w:rFonts w:ascii="Arial" w:hAnsi="Arial" w:cs="Arial"/>
          <w:sz w:val="24"/>
          <w:lang w:val="en"/>
        </w:rPr>
      </w:pPr>
      <w:proofErr w:type="gramStart"/>
      <w:r w:rsidRPr="00856DF5">
        <w:rPr>
          <w:rFonts w:ascii="Arial" w:hAnsi="Arial" w:cs="Arial"/>
          <w:sz w:val="24"/>
          <w:lang w:val="en"/>
        </w:rPr>
        <w:t>the</w:t>
      </w:r>
      <w:proofErr w:type="gramEnd"/>
      <w:r w:rsidRPr="00856DF5">
        <w:rPr>
          <w:rFonts w:ascii="Arial" w:hAnsi="Arial" w:cs="Arial"/>
          <w:sz w:val="24"/>
          <w:lang w:val="en"/>
        </w:rPr>
        <w:t xml:space="preserve"> impact of the risk should it </w:t>
      </w:r>
      <w:proofErr w:type="spellStart"/>
      <w:r w:rsidRPr="00856DF5">
        <w:rPr>
          <w:rFonts w:ascii="Arial" w:hAnsi="Arial" w:cs="Arial"/>
          <w:sz w:val="24"/>
          <w:lang w:val="en"/>
        </w:rPr>
        <w:t>materialise</w:t>
      </w:r>
      <w:proofErr w:type="spellEnd"/>
      <w:r w:rsidRPr="00856DF5">
        <w:rPr>
          <w:rFonts w:ascii="Arial" w:hAnsi="Arial" w:cs="Arial"/>
          <w:sz w:val="24"/>
          <w:lang w:val="en"/>
        </w:rPr>
        <w:t xml:space="preserve">. </w:t>
      </w:r>
    </w:p>
    <w:p w:rsidR="00856DF5" w:rsidRPr="00856DF5" w:rsidRDefault="00856DF5" w:rsidP="00856DF5">
      <w:pPr>
        <w:rPr>
          <w:rFonts w:ascii="Arial" w:hAnsi="Arial" w:cs="Arial"/>
          <w:sz w:val="24"/>
          <w:lang w:val="en"/>
        </w:rPr>
      </w:pPr>
      <w:r w:rsidRPr="00856DF5">
        <w:rPr>
          <w:rFonts w:ascii="Arial" w:hAnsi="Arial" w:cs="Arial"/>
          <w:sz w:val="24"/>
          <w:lang w:val="en"/>
        </w:rPr>
        <w:t>A breach of confidentiality will not be sanctioned where there is little prospect of the risk becoming</w:t>
      </w:r>
      <w:r w:rsidR="003626D2">
        <w:rPr>
          <w:rFonts w:ascii="Arial" w:hAnsi="Arial" w:cs="Arial"/>
          <w:sz w:val="24"/>
          <w:lang w:val="en"/>
        </w:rPr>
        <w:t xml:space="preserve"> a</w:t>
      </w:r>
      <w:r w:rsidRPr="00856DF5">
        <w:rPr>
          <w:rFonts w:ascii="Arial" w:hAnsi="Arial" w:cs="Arial"/>
          <w:sz w:val="24"/>
          <w:lang w:val="en"/>
        </w:rPr>
        <w:t xml:space="preserve"> reality or where there is no evidence that there is a risk. Some situations require an immediate response, e.g. where safety is the overriding consideration. </w:t>
      </w:r>
    </w:p>
    <w:p w:rsidR="00856DF5" w:rsidRDefault="00856DF5" w:rsidP="00E169E9">
      <w:pPr>
        <w:rPr>
          <w:rFonts w:ascii="Verdana" w:eastAsiaTheme="majorEastAsia" w:hAnsi="Verdana" w:cstheme="majorBidi"/>
          <w:b/>
          <w:bCs/>
          <w:color w:val="4F81BD" w:themeColor="accent1"/>
          <w:sz w:val="26"/>
          <w:szCs w:val="26"/>
        </w:rPr>
      </w:pPr>
      <w:r>
        <w:rPr>
          <w:rFonts w:ascii="Verdana" w:eastAsiaTheme="majorEastAsia" w:hAnsi="Verdana" w:cstheme="majorBidi"/>
          <w:b/>
          <w:bCs/>
          <w:color w:val="4F81BD" w:themeColor="accent1"/>
          <w:sz w:val="26"/>
          <w:szCs w:val="26"/>
        </w:rPr>
        <w:t>5</w:t>
      </w:r>
      <w:r w:rsidRPr="00856DF5">
        <w:rPr>
          <w:rFonts w:ascii="Verdana" w:eastAsiaTheme="majorEastAsia" w:hAnsi="Verdana" w:cstheme="majorBidi"/>
          <w:b/>
          <w:bCs/>
          <w:color w:val="4F81BD" w:themeColor="accent1"/>
          <w:sz w:val="26"/>
          <w:szCs w:val="26"/>
        </w:rPr>
        <w:t>. Records</w:t>
      </w:r>
    </w:p>
    <w:p w:rsidR="00856DF5" w:rsidRPr="00856DF5" w:rsidRDefault="00856DF5" w:rsidP="00856DF5">
      <w:pPr>
        <w:rPr>
          <w:rFonts w:ascii="Arial" w:hAnsi="Arial" w:cs="Arial"/>
          <w:sz w:val="24"/>
          <w:lang w:val="en"/>
        </w:rPr>
      </w:pPr>
      <w:r w:rsidRPr="00856DF5">
        <w:rPr>
          <w:rFonts w:ascii="Arial" w:hAnsi="Arial" w:cs="Arial"/>
          <w:sz w:val="24"/>
          <w:lang w:val="en"/>
        </w:rPr>
        <w:t>A record of the circumstances, the issues and the decision made should be kept centrally.</w:t>
      </w:r>
    </w:p>
    <w:p w:rsidR="00856DF5" w:rsidRPr="00856DF5" w:rsidRDefault="00856DF5" w:rsidP="00856DF5">
      <w:pPr>
        <w:rPr>
          <w:rFonts w:ascii="Verdana" w:eastAsiaTheme="majorEastAsia" w:hAnsi="Verdana" w:cstheme="majorBidi"/>
          <w:b/>
          <w:bCs/>
          <w:color w:val="4F81BD" w:themeColor="accent1"/>
          <w:sz w:val="26"/>
          <w:szCs w:val="26"/>
        </w:rPr>
      </w:pPr>
      <w:bookmarkStart w:id="5" w:name="_Toc444604676"/>
      <w:r w:rsidRPr="00856DF5">
        <w:rPr>
          <w:rFonts w:ascii="Verdana" w:eastAsiaTheme="majorEastAsia" w:hAnsi="Verdana" w:cstheme="majorBidi"/>
          <w:b/>
          <w:bCs/>
          <w:color w:val="4F81BD" w:themeColor="accent1"/>
          <w:sz w:val="26"/>
          <w:szCs w:val="26"/>
        </w:rPr>
        <w:t>6 Giving information to third parties (including referrals)</w:t>
      </w:r>
      <w:bookmarkEnd w:id="5"/>
      <w:r w:rsidRPr="00856DF5">
        <w:rPr>
          <w:rFonts w:ascii="Verdana" w:eastAsiaTheme="majorEastAsia" w:hAnsi="Verdana" w:cstheme="majorBidi"/>
          <w:b/>
          <w:bCs/>
          <w:color w:val="4F81BD" w:themeColor="accent1"/>
          <w:sz w:val="26"/>
          <w:szCs w:val="26"/>
        </w:rPr>
        <w:t xml:space="preserve"> </w:t>
      </w:r>
    </w:p>
    <w:p w:rsidR="00856DF5" w:rsidRPr="00856DF5" w:rsidRDefault="00856DF5" w:rsidP="00856DF5">
      <w:pPr>
        <w:rPr>
          <w:rFonts w:ascii="Arial" w:hAnsi="Arial" w:cs="Arial"/>
          <w:sz w:val="24"/>
          <w:lang w:val="en"/>
        </w:rPr>
      </w:pPr>
      <w:r w:rsidRPr="00856DF5">
        <w:rPr>
          <w:rFonts w:ascii="Arial" w:hAnsi="Arial" w:cs="Arial"/>
          <w:sz w:val="24"/>
          <w:lang w:val="en"/>
        </w:rPr>
        <w:t xml:space="preserve">Confidentiality is not breached if the client agrees to information being given to a third party. </w:t>
      </w:r>
    </w:p>
    <w:p w:rsidR="00856DF5" w:rsidRPr="00856DF5" w:rsidRDefault="00856DF5" w:rsidP="00856DF5">
      <w:pPr>
        <w:rPr>
          <w:rFonts w:ascii="Arial" w:hAnsi="Arial" w:cs="Arial"/>
          <w:sz w:val="24"/>
          <w:lang w:val="en"/>
        </w:rPr>
      </w:pPr>
      <w:r w:rsidRPr="00856DF5">
        <w:rPr>
          <w:rFonts w:ascii="Arial" w:hAnsi="Arial" w:cs="Arial"/>
          <w:sz w:val="24"/>
          <w:lang w:val="en"/>
        </w:rPr>
        <w:t xml:space="preserve">If a client agrees to </w:t>
      </w:r>
      <w:r w:rsidR="003626D2">
        <w:rPr>
          <w:rFonts w:ascii="Arial" w:hAnsi="Arial" w:cs="Arial"/>
          <w:sz w:val="24"/>
          <w:lang w:val="en"/>
        </w:rPr>
        <w:t>their</w:t>
      </w:r>
      <w:r w:rsidRPr="00856DF5">
        <w:rPr>
          <w:rFonts w:ascii="Arial" w:hAnsi="Arial" w:cs="Arial"/>
          <w:sz w:val="24"/>
          <w:lang w:val="en"/>
        </w:rPr>
        <w:t xml:space="preserve"> case being referred to another organisation, law firm or chambers s/he should also be asked to confirm that all information given to the </w:t>
      </w:r>
      <w:r w:rsidRPr="00856DF5">
        <w:rPr>
          <w:rFonts w:ascii="Arial" w:hAnsi="Arial" w:cs="Arial"/>
          <w:sz w:val="24"/>
          <w:highlight w:val="yellow"/>
          <w:lang w:val="en"/>
        </w:rPr>
        <w:t>[name of clinic]</w:t>
      </w:r>
      <w:r w:rsidRPr="00856DF5">
        <w:rPr>
          <w:rFonts w:ascii="Arial" w:hAnsi="Arial" w:cs="Arial"/>
          <w:sz w:val="24"/>
          <w:lang w:val="en"/>
        </w:rPr>
        <w:t xml:space="preserve"> can be passed on to the other organisation, law firm or chambers. </w:t>
      </w:r>
    </w:p>
    <w:p w:rsidR="00856DF5" w:rsidRDefault="00856DF5" w:rsidP="00856DF5">
      <w:pPr>
        <w:rPr>
          <w:rFonts w:eastAsia="Times New Roman" w:cs="Arial"/>
          <w:sz w:val="24"/>
          <w:lang w:val="en"/>
        </w:rPr>
      </w:pPr>
      <w:r w:rsidRPr="00856DF5">
        <w:rPr>
          <w:rFonts w:ascii="Verdana" w:eastAsiaTheme="majorEastAsia" w:hAnsi="Verdana" w:cstheme="majorBidi"/>
          <w:b/>
          <w:bCs/>
          <w:color w:val="4F81BD" w:themeColor="accent1"/>
          <w:sz w:val="26"/>
          <w:szCs w:val="26"/>
        </w:rPr>
        <w:t>7 Break-ins and theft</w:t>
      </w:r>
      <w:r w:rsidRPr="00856DF5">
        <w:rPr>
          <w:rFonts w:eastAsia="Times New Roman" w:cs="Arial"/>
          <w:sz w:val="24"/>
          <w:lang w:val="en"/>
        </w:rPr>
        <w:t xml:space="preserve"> </w:t>
      </w:r>
    </w:p>
    <w:p w:rsidR="00856DF5" w:rsidRPr="00856DF5" w:rsidRDefault="00856DF5" w:rsidP="00856DF5">
      <w:pPr>
        <w:rPr>
          <w:rFonts w:ascii="Arial" w:hAnsi="Arial" w:cs="Arial"/>
          <w:sz w:val="24"/>
          <w:lang w:val="en"/>
        </w:rPr>
      </w:pPr>
      <w:r w:rsidRPr="00856DF5">
        <w:rPr>
          <w:rFonts w:ascii="Arial" w:hAnsi="Arial" w:cs="Arial"/>
          <w:sz w:val="24"/>
          <w:lang w:val="en"/>
        </w:rPr>
        <w:t>If confidential records are stolen in a break-in or in any other way, the theft must be reported to your supervisor and the police. The report to the police must stress the confidential nature of the records and the importance of them being returned unread if they are found. Client details should not be disclosed to the police. Where case records have not been stolen, but an intruder may have examined them, a report should be made to your supervisor.</w:t>
      </w:r>
    </w:p>
    <w:p w:rsidR="00856DF5" w:rsidRDefault="00856DF5" w:rsidP="00856DF5">
      <w:pPr>
        <w:rPr>
          <w:rFonts w:ascii="Verdana" w:eastAsiaTheme="majorEastAsia" w:hAnsi="Verdana" w:cstheme="majorBidi"/>
          <w:b/>
          <w:bCs/>
          <w:color w:val="4F81BD" w:themeColor="accent1"/>
          <w:sz w:val="26"/>
          <w:szCs w:val="26"/>
        </w:rPr>
      </w:pPr>
      <w:r w:rsidRPr="00856DF5">
        <w:rPr>
          <w:rFonts w:ascii="Verdana" w:eastAsiaTheme="majorEastAsia" w:hAnsi="Verdana" w:cstheme="majorBidi"/>
          <w:b/>
          <w:bCs/>
          <w:color w:val="4F81BD" w:themeColor="accent1"/>
          <w:sz w:val="26"/>
          <w:szCs w:val="26"/>
        </w:rPr>
        <w:t>8 Contacting clients</w:t>
      </w:r>
    </w:p>
    <w:p w:rsidR="00856DF5" w:rsidRDefault="00856DF5" w:rsidP="00856DF5">
      <w:pPr>
        <w:rPr>
          <w:rFonts w:ascii="Arial" w:hAnsi="Arial" w:cs="Arial"/>
          <w:sz w:val="24"/>
          <w:lang w:val="en"/>
        </w:rPr>
      </w:pPr>
      <w:r w:rsidRPr="00856DF5">
        <w:rPr>
          <w:rFonts w:ascii="Arial" w:hAnsi="Arial" w:cs="Arial"/>
          <w:sz w:val="24"/>
          <w:lang w:val="en"/>
        </w:rPr>
        <w:lastRenderedPageBreak/>
        <w:t xml:space="preserve">The way(s) in which clients may be contacted should be agreed at the time of the interview and noted on the case record. Care should be taken when contacting clients in case confidentiality is inadvertently breached. Email enquiries should be handled securely. </w:t>
      </w:r>
    </w:p>
    <w:p w:rsidR="008D2B08" w:rsidRPr="008D2B08" w:rsidRDefault="008D2B08" w:rsidP="00856DF5">
      <w:pPr>
        <w:rPr>
          <w:rFonts w:ascii="Verdana" w:eastAsiaTheme="majorEastAsia" w:hAnsi="Verdana" w:cstheme="majorBidi"/>
          <w:b/>
          <w:bCs/>
          <w:color w:val="4F81BD" w:themeColor="accent1"/>
          <w:sz w:val="26"/>
          <w:szCs w:val="26"/>
        </w:rPr>
      </w:pPr>
      <w:r w:rsidRPr="008D2B08">
        <w:rPr>
          <w:rFonts w:ascii="Verdana" w:eastAsiaTheme="majorEastAsia" w:hAnsi="Verdana" w:cstheme="majorBidi"/>
          <w:b/>
          <w:bCs/>
          <w:color w:val="4F81BD" w:themeColor="accent1"/>
          <w:sz w:val="26"/>
          <w:szCs w:val="26"/>
        </w:rPr>
        <w:t>9 Case records</w:t>
      </w:r>
    </w:p>
    <w:p w:rsidR="008D2B08" w:rsidRPr="008D2B08" w:rsidRDefault="008D2B08" w:rsidP="008D2B08">
      <w:pPr>
        <w:pStyle w:val="Heading3"/>
        <w:numPr>
          <w:ilvl w:val="0"/>
          <w:numId w:val="7"/>
        </w:numPr>
        <w:spacing w:after="120"/>
        <w:ind w:left="426" w:hanging="357"/>
        <w:rPr>
          <w:rFonts w:ascii="Arial" w:hAnsi="Arial" w:cs="Arial"/>
          <w:sz w:val="24"/>
          <w:szCs w:val="24"/>
        </w:rPr>
      </w:pPr>
      <w:bookmarkStart w:id="6" w:name="storage_of_records"/>
      <w:bookmarkStart w:id="7" w:name="_Toc444604680"/>
      <w:bookmarkEnd w:id="6"/>
      <w:r w:rsidRPr="008D2B08">
        <w:rPr>
          <w:rFonts w:ascii="Arial" w:hAnsi="Arial" w:cs="Arial"/>
          <w:sz w:val="24"/>
          <w:szCs w:val="24"/>
        </w:rPr>
        <w:t>Storage of records</w:t>
      </w:r>
      <w:bookmarkEnd w:id="7"/>
    </w:p>
    <w:p w:rsidR="008D2B08" w:rsidRPr="008D2B08" w:rsidRDefault="008D2B08" w:rsidP="008D2B08">
      <w:pPr>
        <w:ind w:left="426"/>
        <w:rPr>
          <w:rFonts w:ascii="Arial" w:hAnsi="Arial" w:cs="Arial"/>
          <w:sz w:val="24"/>
          <w:lang w:val="en"/>
        </w:rPr>
      </w:pPr>
      <w:r w:rsidRPr="008D2B08">
        <w:rPr>
          <w:rFonts w:ascii="Arial" w:hAnsi="Arial" w:cs="Arial"/>
          <w:sz w:val="24"/>
          <w:lang w:val="en"/>
        </w:rPr>
        <w:t xml:space="preserve">Clients' case records and other notes taken in the course of an interview must be kept securely. Any paper correspondence and other records must not be left unattended or kept in interview rooms or offices in view of people from outside </w:t>
      </w:r>
      <w:r w:rsidRPr="008D2B08">
        <w:rPr>
          <w:rFonts w:ascii="Arial" w:hAnsi="Arial" w:cs="Arial"/>
          <w:sz w:val="24"/>
          <w:highlight w:val="yellow"/>
          <w:lang w:val="en"/>
        </w:rPr>
        <w:t>[name of clinic]</w:t>
      </w:r>
      <w:r w:rsidRPr="008D2B08">
        <w:rPr>
          <w:rFonts w:ascii="Arial" w:hAnsi="Arial" w:cs="Arial"/>
          <w:sz w:val="24"/>
          <w:lang w:val="en"/>
        </w:rPr>
        <w:t xml:space="preserve">. All files must be kept in filling cabinets when not being worked on. </w:t>
      </w:r>
      <w:r w:rsidRPr="008D2B08">
        <w:rPr>
          <w:rFonts w:ascii="Arial" w:hAnsi="Arial" w:cs="Arial"/>
          <w:sz w:val="24"/>
          <w:highlight w:val="yellow"/>
          <w:lang w:val="en"/>
        </w:rPr>
        <w:t>[Name of clinic]</w:t>
      </w:r>
      <w:r w:rsidRPr="008D2B08">
        <w:rPr>
          <w:rFonts w:ascii="Arial" w:hAnsi="Arial" w:cs="Arial"/>
          <w:sz w:val="24"/>
          <w:lang w:val="en"/>
        </w:rPr>
        <w:t xml:space="preserve"> implements a clear desk policy as part of its confidentiality policy. </w:t>
      </w:r>
      <w:bookmarkStart w:id="8" w:name="taking_client_records_from_the_bureau"/>
      <w:bookmarkStart w:id="9" w:name="lost_records"/>
      <w:bookmarkEnd w:id="8"/>
      <w:bookmarkEnd w:id="9"/>
    </w:p>
    <w:p w:rsidR="008D2B08" w:rsidRPr="008D2B08" w:rsidRDefault="008D2B08" w:rsidP="008D2B08">
      <w:pPr>
        <w:pStyle w:val="Heading3"/>
        <w:numPr>
          <w:ilvl w:val="0"/>
          <w:numId w:val="7"/>
        </w:numPr>
        <w:spacing w:after="120"/>
        <w:ind w:left="426" w:hanging="357"/>
        <w:rPr>
          <w:rFonts w:ascii="Arial" w:hAnsi="Arial" w:cs="Arial"/>
          <w:sz w:val="24"/>
          <w:szCs w:val="24"/>
        </w:rPr>
      </w:pPr>
      <w:bookmarkStart w:id="10" w:name="_Toc444604681"/>
      <w:r w:rsidRPr="008D2B08">
        <w:rPr>
          <w:rFonts w:ascii="Arial" w:hAnsi="Arial" w:cs="Arial"/>
          <w:sz w:val="24"/>
          <w:szCs w:val="24"/>
        </w:rPr>
        <w:t>Lost records</w:t>
      </w:r>
      <w:bookmarkEnd w:id="10"/>
    </w:p>
    <w:p w:rsidR="008D2B08" w:rsidRDefault="008D2B08" w:rsidP="008D2B08">
      <w:pPr>
        <w:ind w:left="426"/>
        <w:rPr>
          <w:rFonts w:ascii="Arial" w:hAnsi="Arial" w:cs="Arial"/>
          <w:sz w:val="24"/>
          <w:lang w:val="en"/>
        </w:rPr>
      </w:pPr>
      <w:r w:rsidRPr="008D2B08">
        <w:rPr>
          <w:rFonts w:ascii="Arial" w:hAnsi="Arial" w:cs="Arial"/>
          <w:sz w:val="24"/>
          <w:lang w:val="en"/>
        </w:rPr>
        <w:t>If confidential records are lost, this should be reported to your supervisor as soon as possible.</w:t>
      </w:r>
      <w:bookmarkStart w:id="11" w:name="client_access_to_records"/>
      <w:bookmarkStart w:id="12" w:name="_Toc444604682"/>
      <w:bookmarkEnd w:id="11"/>
    </w:p>
    <w:p w:rsidR="008D2B08" w:rsidRPr="008D2B08" w:rsidRDefault="008D2B08" w:rsidP="008D2B08">
      <w:pPr>
        <w:pStyle w:val="Heading3"/>
        <w:numPr>
          <w:ilvl w:val="0"/>
          <w:numId w:val="7"/>
        </w:numPr>
        <w:spacing w:after="120"/>
        <w:ind w:left="426" w:hanging="357"/>
        <w:rPr>
          <w:rFonts w:ascii="Arial" w:hAnsi="Arial" w:cs="Arial"/>
          <w:sz w:val="24"/>
          <w:szCs w:val="24"/>
        </w:rPr>
      </w:pPr>
      <w:r w:rsidRPr="008D2B08">
        <w:rPr>
          <w:rFonts w:ascii="Arial" w:hAnsi="Arial" w:cs="Arial"/>
          <w:sz w:val="24"/>
          <w:szCs w:val="24"/>
        </w:rPr>
        <w:t>Client access to records</w:t>
      </w:r>
      <w:bookmarkEnd w:id="12"/>
    </w:p>
    <w:p w:rsidR="008D2B08" w:rsidRPr="008D2B08" w:rsidRDefault="008D2B08" w:rsidP="008D2B08">
      <w:pPr>
        <w:ind w:left="426"/>
        <w:rPr>
          <w:rFonts w:ascii="Arial" w:hAnsi="Arial" w:cs="Arial"/>
          <w:sz w:val="24"/>
          <w:lang w:val="en"/>
        </w:rPr>
      </w:pPr>
      <w:r w:rsidRPr="008D2B08">
        <w:rPr>
          <w:rFonts w:ascii="Arial" w:hAnsi="Arial" w:cs="Arial"/>
          <w:sz w:val="24"/>
          <w:lang w:val="en"/>
        </w:rPr>
        <w:t xml:space="preserve">Clients have the right to see their own case records and letters written or received on their behalf. Copies may be given to clients, but the originals should be retained in the organisation’s files. </w:t>
      </w:r>
    </w:p>
    <w:p w:rsidR="008D2B08" w:rsidRDefault="008D2B08" w:rsidP="008D2B08">
      <w:pPr>
        <w:ind w:left="426"/>
        <w:rPr>
          <w:rFonts w:ascii="Arial" w:hAnsi="Arial" w:cs="Arial"/>
          <w:sz w:val="24"/>
          <w:lang w:val="en"/>
        </w:rPr>
      </w:pPr>
      <w:r w:rsidRPr="008D2B08">
        <w:rPr>
          <w:rFonts w:ascii="Arial" w:hAnsi="Arial" w:cs="Arial"/>
          <w:sz w:val="24"/>
          <w:lang w:val="en"/>
        </w:rPr>
        <w:t>However, where a client has made a complaint or a claim involving liability for wrong advice against the organisation any records or correspondence relating to the claim or complaint is confidential to the organisation and should be stored separately to the original case record.</w:t>
      </w:r>
      <w:bookmarkStart w:id="13" w:name="third-party_access"/>
      <w:bookmarkStart w:id="14" w:name="_Toc444604683"/>
      <w:bookmarkEnd w:id="13"/>
    </w:p>
    <w:p w:rsidR="008D2B08" w:rsidRPr="008D2B08" w:rsidRDefault="008D2B08" w:rsidP="008D2B08">
      <w:pPr>
        <w:pStyle w:val="ListParagraph"/>
        <w:numPr>
          <w:ilvl w:val="0"/>
          <w:numId w:val="7"/>
        </w:numPr>
        <w:ind w:left="426" w:hanging="357"/>
        <w:rPr>
          <w:rFonts w:ascii="Arial" w:eastAsiaTheme="majorEastAsia" w:hAnsi="Arial" w:cs="Arial"/>
          <w:b/>
          <w:bCs/>
          <w:color w:val="4F81BD" w:themeColor="accent1"/>
          <w:sz w:val="24"/>
          <w:szCs w:val="24"/>
        </w:rPr>
      </w:pPr>
      <w:r w:rsidRPr="008D2B08">
        <w:rPr>
          <w:rFonts w:ascii="Arial" w:eastAsiaTheme="majorEastAsia" w:hAnsi="Arial" w:cs="Arial"/>
          <w:b/>
          <w:bCs/>
          <w:color w:val="4F81BD" w:themeColor="accent1"/>
          <w:sz w:val="24"/>
          <w:szCs w:val="24"/>
        </w:rPr>
        <w:t>Third-party access</w:t>
      </w:r>
      <w:bookmarkEnd w:id="14"/>
    </w:p>
    <w:p w:rsidR="008D2B08" w:rsidRPr="008D2B08" w:rsidRDefault="008D2B08" w:rsidP="008D2B08">
      <w:pPr>
        <w:ind w:left="426"/>
        <w:rPr>
          <w:rFonts w:ascii="Arial" w:hAnsi="Arial" w:cs="Arial"/>
          <w:sz w:val="24"/>
          <w:lang w:val="en"/>
        </w:rPr>
      </w:pPr>
      <w:r w:rsidRPr="008D2B08">
        <w:rPr>
          <w:rFonts w:ascii="Arial" w:hAnsi="Arial" w:cs="Arial"/>
          <w:sz w:val="24"/>
          <w:lang w:val="en"/>
        </w:rPr>
        <w:t>A third party can have access to client records only with the client's express permission - preferably in writing. This permission, and details of which documents were supplied to whom and why, must be kept on the case rec</w:t>
      </w:r>
      <w:r>
        <w:rPr>
          <w:rFonts w:ascii="Arial" w:hAnsi="Arial" w:cs="Arial"/>
          <w:sz w:val="24"/>
          <w:lang w:val="en"/>
        </w:rPr>
        <w:t xml:space="preserve">ord. Exceptions include </w:t>
      </w:r>
      <w:r w:rsidRPr="008D2B08">
        <w:rPr>
          <w:rFonts w:ascii="Arial" w:hAnsi="Arial" w:cs="Arial"/>
          <w:sz w:val="24"/>
          <w:highlight w:val="yellow"/>
          <w:lang w:val="en"/>
        </w:rPr>
        <w:t>[name of clinic]</w:t>
      </w:r>
      <w:r>
        <w:rPr>
          <w:rFonts w:ascii="Arial" w:hAnsi="Arial" w:cs="Arial"/>
          <w:sz w:val="24"/>
          <w:lang w:val="en"/>
        </w:rPr>
        <w:t>’s</w:t>
      </w:r>
      <w:r w:rsidRPr="008D2B08">
        <w:rPr>
          <w:rFonts w:ascii="Arial" w:hAnsi="Arial" w:cs="Arial"/>
          <w:sz w:val="24"/>
          <w:lang w:val="en"/>
        </w:rPr>
        <w:t xml:space="preserve"> insurers/solicitors. </w:t>
      </w:r>
    </w:p>
    <w:p w:rsidR="008D2B08" w:rsidRDefault="008D2B08" w:rsidP="008D2B08">
      <w:pPr>
        <w:rPr>
          <w:rFonts w:eastAsia="Times New Roman" w:cs="Arial"/>
          <w:sz w:val="24"/>
          <w:lang w:val="en"/>
        </w:rPr>
      </w:pPr>
      <w:r>
        <w:rPr>
          <w:rFonts w:ascii="Verdana" w:eastAsiaTheme="majorEastAsia" w:hAnsi="Verdana" w:cstheme="majorBidi"/>
          <w:b/>
          <w:bCs/>
          <w:color w:val="4F81BD" w:themeColor="accent1"/>
          <w:sz w:val="26"/>
          <w:szCs w:val="26"/>
        </w:rPr>
        <w:t>10</w:t>
      </w:r>
      <w:r w:rsidRPr="008D2B08">
        <w:rPr>
          <w:sz w:val="26"/>
          <w:lang w:val="en"/>
        </w:rPr>
        <w:t xml:space="preserve"> </w:t>
      </w:r>
      <w:r w:rsidRPr="008D2B08">
        <w:rPr>
          <w:rFonts w:ascii="Verdana" w:eastAsiaTheme="majorEastAsia" w:hAnsi="Verdana" w:cstheme="majorBidi"/>
          <w:b/>
          <w:bCs/>
          <w:color w:val="4F81BD" w:themeColor="accent1"/>
          <w:sz w:val="26"/>
          <w:szCs w:val="26"/>
        </w:rPr>
        <w:t>Unauthorised breaches</w:t>
      </w:r>
      <w:r w:rsidRPr="008D2B08">
        <w:rPr>
          <w:rFonts w:eastAsia="Times New Roman" w:cs="Arial"/>
          <w:sz w:val="24"/>
          <w:lang w:val="en"/>
        </w:rPr>
        <w:t xml:space="preserve"> </w:t>
      </w:r>
    </w:p>
    <w:p w:rsidR="008D2B08" w:rsidRPr="008D2B08" w:rsidRDefault="008D2B08" w:rsidP="008D2B08">
      <w:pPr>
        <w:rPr>
          <w:rFonts w:ascii="Arial" w:hAnsi="Arial" w:cs="Arial"/>
          <w:sz w:val="24"/>
          <w:lang w:val="en"/>
        </w:rPr>
      </w:pPr>
      <w:r w:rsidRPr="008D2B08">
        <w:rPr>
          <w:rFonts w:ascii="Arial" w:hAnsi="Arial" w:cs="Arial"/>
          <w:sz w:val="24"/>
          <w:lang w:val="en"/>
        </w:rPr>
        <w:t>If an unauthorised breach of confidentiality is discovered your s</w:t>
      </w:r>
      <w:r w:rsidR="003626D2">
        <w:rPr>
          <w:rFonts w:ascii="Arial" w:hAnsi="Arial" w:cs="Arial"/>
          <w:sz w:val="24"/>
          <w:lang w:val="en"/>
        </w:rPr>
        <w:t>u</w:t>
      </w:r>
      <w:r w:rsidRPr="008D2B08">
        <w:rPr>
          <w:rFonts w:ascii="Arial" w:hAnsi="Arial" w:cs="Arial"/>
          <w:sz w:val="24"/>
          <w:lang w:val="en"/>
        </w:rPr>
        <w:t>pervisor should be instructed as to the nature and details of the event.</w:t>
      </w:r>
    </w:p>
    <w:p w:rsidR="008D2B08" w:rsidRPr="008D2B08" w:rsidRDefault="008D2B08" w:rsidP="008D2B08">
      <w:pPr>
        <w:rPr>
          <w:rFonts w:ascii="Arial" w:hAnsi="Arial" w:cs="Arial"/>
          <w:sz w:val="24"/>
          <w:lang w:val="en"/>
        </w:rPr>
      </w:pPr>
      <w:r w:rsidRPr="008D2B08">
        <w:rPr>
          <w:rFonts w:ascii="Arial" w:hAnsi="Arial" w:cs="Arial"/>
          <w:sz w:val="24"/>
          <w:lang w:val="en"/>
        </w:rPr>
        <w:t xml:space="preserve">Most unauthorised breaches are accidental or inadvertent. Examples include letters sent to clients with the wrong address, papers belonging to one client mistakenly given to another and inexperienced staff members revealing client details to third parties. These types of breaches should not be ignored even if there appear to be no immediate consequences for the client or the organisation. </w:t>
      </w:r>
    </w:p>
    <w:p w:rsidR="008D2B08" w:rsidRPr="008D2B08" w:rsidRDefault="008D2B08" w:rsidP="008D2B08">
      <w:pPr>
        <w:rPr>
          <w:rFonts w:ascii="Arial" w:hAnsi="Arial" w:cs="Arial"/>
          <w:sz w:val="24"/>
          <w:lang w:val="en"/>
        </w:rPr>
      </w:pPr>
      <w:r w:rsidRPr="008D2B08">
        <w:rPr>
          <w:rFonts w:ascii="Arial" w:hAnsi="Arial" w:cs="Arial"/>
          <w:sz w:val="24"/>
          <w:lang w:val="en"/>
        </w:rPr>
        <w:lastRenderedPageBreak/>
        <w:t xml:space="preserve">The client should be informed of what has happened and given the opportunity to make a formal complaint. The breach should be discussed with relevant members of staff or </w:t>
      </w:r>
      <w:r>
        <w:rPr>
          <w:rFonts w:ascii="Arial" w:hAnsi="Arial" w:cs="Arial"/>
          <w:sz w:val="24"/>
          <w:lang w:val="en"/>
        </w:rPr>
        <w:t>volunteers</w:t>
      </w:r>
      <w:r w:rsidRPr="008D2B08">
        <w:rPr>
          <w:rFonts w:ascii="Arial" w:hAnsi="Arial" w:cs="Arial"/>
          <w:sz w:val="24"/>
          <w:lang w:val="en"/>
        </w:rPr>
        <w:t xml:space="preserve"> and </w:t>
      </w:r>
      <w:r w:rsidRPr="008D2B08">
        <w:rPr>
          <w:rFonts w:ascii="Arial" w:hAnsi="Arial" w:cs="Arial"/>
          <w:sz w:val="24"/>
          <w:highlight w:val="yellow"/>
          <w:lang w:val="en"/>
        </w:rPr>
        <w:t>[name of clinic]</w:t>
      </w:r>
      <w:r w:rsidRPr="008D2B08">
        <w:rPr>
          <w:rFonts w:ascii="Arial" w:hAnsi="Arial" w:cs="Arial"/>
          <w:sz w:val="24"/>
          <w:lang w:val="en"/>
        </w:rPr>
        <w:t>’s procedures should be checked. A record of the breach and the action taken should be made.</w:t>
      </w:r>
    </w:p>
    <w:p w:rsidR="008D2B08" w:rsidRPr="008D2B08" w:rsidRDefault="008D2B08" w:rsidP="008D2B08">
      <w:pPr>
        <w:rPr>
          <w:rFonts w:ascii="Arial" w:hAnsi="Arial" w:cs="Arial"/>
          <w:sz w:val="24"/>
          <w:lang w:val="en"/>
        </w:rPr>
      </w:pPr>
      <w:r w:rsidRPr="008D2B08">
        <w:rPr>
          <w:rFonts w:ascii="Arial" w:hAnsi="Arial" w:cs="Arial"/>
          <w:sz w:val="24"/>
          <w:lang w:val="en"/>
        </w:rPr>
        <w:t>In extreme cases, where confidentiality has been breached willfully or maliciously, an investigation should be carried out and disciplinary action may be required.  </w:t>
      </w:r>
    </w:p>
    <w:p w:rsidR="00856DF5" w:rsidRPr="00856DF5" w:rsidRDefault="00856DF5" w:rsidP="00E169E9">
      <w:pPr>
        <w:rPr>
          <w:rFonts w:ascii="Verdana" w:eastAsiaTheme="majorEastAsia" w:hAnsi="Verdana" w:cstheme="majorBidi"/>
          <w:b/>
          <w:bCs/>
          <w:color w:val="4F81BD" w:themeColor="accent1"/>
          <w:sz w:val="26"/>
          <w:szCs w:val="26"/>
        </w:rPr>
      </w:pPr>
    </w:p>
    <w:sectPr w:rsidR="00856DF5" w:rsidRPr="00856DF5">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AB6" w:rsidRDefault="00B27AB6" w:rsidP="00B27AB6">
      <w:pPr>
        <w:spacing w:after="0" w:line="240" w:lineRule="auto"/>
      </w:pPr>
      <w:r>
        <w:separator/>
      </w:r>
    </w:p>
  </w:endnote>
  <w:endnote w:type="continuationSeparator" w:id="0">
    <w:p w:rsidR="00B27AB6" w:rsidRDefault="00B27AB6" w:rsidP="00B2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S Albert">
    <w:panose1 w:val="02000000040000020004"/>
    <w:charset w:val="00"/>
    <w:family w:val="modern"/>
    <w:notTrueType/>
    <w:pitch w:val="variable"/>
    <w:sig w:usb0="A00000AF" w:usb1="5000204A" w:usb2="00000000" w:usb3="00000000" w:csb0="0000009B"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AB6" w:rsidRDefault="003626D2" w:rsidP="003626D2">
    <w:pPr>
      <w:pStyle w:val="Footer"/>
      <w:jc w:val="center"/>
    </w:pPr>
    <w:r w:rsidRPr="003626D2">
      <w:rPr>
        <w:highlight w:val="yellow"/>
      </w:rPr>
      <w:t xml:space="preserve">[Date policy </w:t>
    </w:r>
    <w:r w:rsidR="00D65AF4">
      <w:rPr>
        <w:highlight w:val="yellow"/>
      </w:rPr>
      <w:t>adopted</w:t>
    </w:r>
    <w:r w:rsidRPr="003626D2">
      <w:rPr>
        <w:highlight w:val="yellow"/>
      </w:rPr>
      <w:t>] [Date policy last reviewed and updated]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AB6" w:rsidRDefault="00B27AB6" w:rsidP="00B27AB6">
      <w:pPr>
        <w:spacing w:after="0" w:line="240" w:lineRule="auto"/>
      </w:pPr>
      <w:r>
        <w:separator/>
      </w:r>
    </w:p>
  </w:footnote>
  <w:footnote w:type="continuationSeparator" w:id="0">
    <w:p w:rsidR="00B27AB6" w:rsidRDefault="00B27AB6" w:rsidP="00B27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AB6" w:rsidRDefault="00D65A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17143" o:spid="_x0000_s2050" type="#_x0000_t136" style="position:absolute;margin-left:0;margin-top:0;width:477.2pt;height:159.05pt;rotation:315;z-index:-251655168;mso-position-horizontal:center;mso-position-horizontal-relative:margin;mso-position-vertical:center;mso-position-vertical-relative:margin" o:allowincell="f" fillcolor="#d99594 [1941]"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AB6" w:rsidRDefault="00D65A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17144" o:spid="_x0000_s2051" type="#_x0000_t136" style="position:absolute;margin-left:0;margin-top:0;width:477.2pt;height:159.05pt;rotation:315;z-index:-251653120;mso-position-horizontal:center;mso-position-horizontal-relative:margin;mso-position-vertical:center;mso-position-vertical-relative:margin" o:allowincell="f" fillcolor="#d99594 [1941]"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AB6" w:rsidRDefault="00D65A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17142" o:spid="_x0000_s2049" type="#_x0000_t136" style="position:absolute;margin-left:0;margin-top:0;width:477.2pt;height:159.05pt;rotation:315;z-index:-251657216;mso-position-horizontal:center;mso-position-horizontal-relative:margin;mso-position-vertical:center;mso-position-vertical-relative:margin" o:allowincell="f" fillcolor="#d99594 [1941]"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63C9F"/>
    <w:multiLevelType w:val="hybridMultilevel"/>
    <w:tmpl w:val="ABEABDF0"/>
    <w:lvl w:ilvl="0" w:tplc="B742D86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576EC6"/>
    <w:multiLevelType w:val="hybridMultilevel"/>
    <w:tmpl w:val="01009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21791D"/>
    <w:multiLevelType w:val="multilevel"/>
    <w:tmpl w:val="358A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4910B7"/>
    <w:multiLevelType w:val="hybridMultilevel"/>
    <w:tmpl w:val="3AAA16C0"/>
    <w:lvl w:ilvl="0" w:tplc="3EE2E86E">
      <w:start w:val="1"/>
      <w:numFmt w:val="lowerLetter"/>
      <w:lvlText w:val="%1)"/>
      <w:lvlJc w:val="left"/>
      <w:pPr>
        <w:ind w:left="-351" w:hanging="360"/>
      </w:pPr>
      <w:rPr>
        <w:b/>
      </w:rPr>
    </w:lvl>
    <w:lvl w:ilvl="1" w:tplc="08090019">
      <w:start w:val="1"/>
      <w:numFmt w:val="lowerLetter"/>
      <w:lvlText w:val="%2."/>
      <w:lvlJc w:val="left"/>
      <w:pPr>
        <w:ind w:left="369" w:hanging="360"/>
      </w:pPr>
    </w:lvl>
    <w:lvl w:ilvl="2" w:tplc="0809001B" w:tentative="1">
      <w:start w:val="1"/>
      <w:numFmt w:val="lowerRoman"/>
      <w:lvlText w:val="%3."/>
      <w:lvlJc w:val="right"/>
      <w:pPr>
        <w:ind w:left="1089" w:hanging="180"/>
      </w:pPr>
    </w:lvl>
    <w:lvl w:ilvl="3" w:tplc="0809000F" w:tentative="1">
      <w:start w:val="1"/>
      <w:numFmt w:val="decimal"/>
      <w:lvlText w:val="%4."/>
      <w:lvlJc w:val="left"/>
      <w:pPr>
        <w:ind w:left="1809" w:hanging="360"/>
      </w:pPr>
    </w:lvl>
    <w:lvl w:ilvl="4" w:tplc="08090019" w:tentative="1">
      <w:start w:val="1"/>
      <w:numFmt w:val="lowerLetter"/>
      <w:lvlText w:val="%5."/>
      <w:lvlJc w:val="left"/>
      <w:pPr>
        <w:ind w:left="2529" w:hanging="360"/>
      </w:pPr>
    </w:lvl>
    <w:lvl w:ilvl="5" w:tplc="0809001B" w:tentative="1">
      <w:start w:val="1"/>
      <w:numFmt w:val="lowerRoman"/>
      <w:lvlText w:val="%6."/>
      <w:lvlJc w:val="right"/>
      <w:pPr>
        <w:ind w:left="3249" w:hanging="180"/>
      </w:pPr>
    </w:lvl>
    <w:lvl w:ilvl="6" w:tplc="0809000F" w:tentative="1">
      <w:start w:val="1"/>
      <w:numFmt w:val="decimal"/>
      <w:lvlText w:val="%7."/>
      <w:lvlJc w:val="left"/>
      <w:pPr>
        <w:ind w:left="3969" w:hanging="360"/>
      </w:pPr>
    </w:lvl>
    <w:lvl w:ilvl="7" w:tplc="08090019" w:tentative="1">
      <w:start w:val="1"/>
      <w:numFmt w:val="lowerLetter"/>
      <w:lvlText w:val="%8."/>
      <w:lvlJc w:val="left"/>
      <w:pPr>
        <w:ind w:left="4689" w:hanging="360"/>
      </w:pPr>
    </w:lvl>
    <w:lvl w:ilvl="8" w:tplc="0809001B" w:tentative="1">
      <w:start w:val="1"/>
      <w:numFmt w:val="lowerRoman"/>
      <w:lvlText w:val="%9."/>
      <w:lvlJc w:val="right"/>
      <w:pPr>
        <w:ind w:left="5409" w:hanging="180"/>
      </w:pPr>
    </w:lvl>
  </w:abstractNum>
  <w:abstractNum w:abstractNumId="4">
    <w:nsid w:val="48B45957"/>
    <w:multiLevelType w:val="multilevel"/>
    <w:tmpl w:val="526A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125359"/>
    <w:multiLevelType w:val="multilevel"/>
    <w:tmpl w:val="2C94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CE79AB"/>
    <w:multiLevelType w:val="hybridMultilevel"/>
    <w:tmpl w:val="DED67A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D05088B"/>
    <w:multiLevelType w:val="hybridMultilevel"/>
    <w:tmpl w:val="EC3C4E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795"/>
    <w:rsid w:val="00255CE2"/>
    <w:rsid w:val="002E37A8"/>
    <w:rsid w:val="003626D2"/>
    <w:rsid w:val="004A064D"/>
    <w:rsid w:val="00856DF5"/>
    <w:rsid w:val="008D2B08"/>
    <w:rsid w:val="009A136A"/>
    <w:rsid w:val="00B27AB6"/>
    <w:rsid w:val="00BC2240"/>
    <w:rsid w:val="00C63795"/>
    <w:rsid w:val="00D65AF4"/>
    <w:rsid w:val="00E169E9"/>
    <w:rsid w:val="00E63B86"/>
    <w:rsid w:val="00E76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795"/>
    <w:rPr>
      <w:rFonts w:eastAsiaTheme="minorEastAsia"/>
      <w:lang w:eastAsia="en-GB"/>
    </w:rPr>
  </w:style>
  <w:style w:type="paragraph" w:styleId="Heading2">
    <w:name w:val="heading 2"/>
    <w:basedOn w:val="Normal"/>
    <w:next w:val="Normal"/>
    <w:link w:val="Heading2Char"/>
    <w:uiPriority w:val="9"/>
    <w:unhideWhenUsed/>
    <w:qFormat/>
    <w:rsid w:val="00C637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63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3795"/>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rsid w:val="00C63795"/>
    <w:rPr>
      <w:rFonts w:asciiTheme="majorHAnsi" w:eastAsiaTheme="majorEastAsia" w:hAnsiTheme="majorHAnsi" w:cstheme="majorBidi"/>
      <w:b/>
      <w:bCs/>
      <w:color w:val="4F81BD" w:themeColor="accent1"/>
      <w:lang w:eastAsia="en-GB"/>
    </w:rPr>
  </w:style>
  <w:style w:type="paragraph" w:styleId="NoSpacing">
    <w:name w:val="No Spacing"/>
    <w:link w:val="NoSpacingChar"/>
    <w:uiPriority w:val="1"/>
    <w:qFormat/>
    <w:rsid w:val="00C63795"/>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C63795"/>
    <w:rPr>
      <w:rFonts w:eastAsiaTheme="minorEastAsia"/>
      <w:lang w:eastAsia="en-GB"/>
    </w:rPr>
  </w:style>
  <w:style w:type="paragraph" w:styleId="ListParagraph">
    <w:name w:val="List Paragraph"/>
    <w:basedOn w:val="Normal"/>
    <w:uiPriority w:val="34"/>
    <w:qFormat/>
    <w:rsid w:val="00C63795"/>
    <w:pPr>
      <w:ind w:left="720"/>
      <w:contextualSpacing/>
    </w:pPr>
  </w:style>
  <w:style w:type="paragraph" w:styleId="Header">
    <w:name w:val="header"/>
    <w:basedOn w:val="Normal"/>
    <w:link w:val="HeaderChar"/>
    <w:uiPriority w:val="99"/>
    <w:unhideWhenUsed/>
    <w:rsid w:val="00B27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AB6"/>
    <w:rPr>
      <w:rFonts w:eastAsiaTheme="minorEastAsia"/>
      <w:lang w:eastAsia="en-GB"/>
    </w:rPr>
  </w:style>
  <w:style w:type="paragraph" w:styleId="Footer">
    <w:name w:val="footer"/>
    <w:basedOn w:val="Normal"/>
    <w:link w:val="FooterChar"/>
    <w:uiPriority w:val="99"/>
    <w:unhideWhenUsed/>
    <w:rsid w:val="00B27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AB6"/>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795"/>
    <w:rPr>
      <w:rFonts w:eastAsiaTheme="minorEastAsia"/>
      <w:lang w:eastAsia="en-GB"/>
    </w:rPr>
  </w:style>
  <w:style w:type="paragraph" w:styleId="Heading2">
    <w:name w:val="heading 2"/>
    <w:basedOn w:val="Normal"/>
    <w:next w:val="Normal"/>
    <w:link w:val="Heading2Char"/>
    <w:uiPriority w:val="9"/>
    <w:unhideWhenUsed/>
    <w:qFormat/>
    <w:rsid w:val="00C637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63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3795"/>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rsid w:val="00C63795"/>
    <w:rPr>
      <w:rFonts w:asciiTheme="majorHAnsi" w:eastAsiaTheme="majorEastAsia" w:hAnsiTheme="majorHAnsi" w:cstheme="majorBidi"/>
      <w:b/>
      <w:bCs/>
      <w:color w:val="4F81BD" w:themeColor="accent1"/>
      <w:lang w:eastAsia="en-GB"/>
    </w:rPr>
  </w:style>
  <w:style w:type="paragraph" w:styleId="NoSpacing">
    <w:name w:val="No Spacing"/>
    <w:link w:val="NoSpacingChar"/>
    <w:uiPriority w:val="1"/>
    <w:qFormat/>
    <w:rsid w:val="00C63795"/>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C63795"/>
    <w:rPr>
      <w:rFonts w:eastAsiaTheme="minorEastAsia"/>
      <w:lang w:eastAsia="en-GB"/>
    </w:rPr>
  </w:style>
  <w:style w:type="paragraph" w:styleId="ListParagraph">
    <w:name w:val="List Paragraph"/>
    <w:basedOn w:val="Normal"/>
    <w:uiPriority w:val="34"/>
    <w:qFormat/>
    <w:rsid w:val="00C63795"/>
    <w:pPr>
      <w:ind w:left="720"/>
      <w:contextualSpacing/>
    </w:pPr>
  </w:style>
  <w:style w:type="paragraph" w:styleId="Header">
    <w:name w:val="header"/>
    <w:basedOn w:val="Normal"/>
    <w:link w:val="HeaderChar"/>
    <w:uiPriority w:val="99"/>
    <w:unhideWhenUsed/>
    <w:rsid w:val="00B27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AB6"/>
    <w:rPr>
      <w:rFonts w:eastAsiaTheme="minorEastAsia"/>
      <w:lang w:eastAsia="en-GB"/>
    </w:rPr>
  </w:style>
  <w:style w:type="paragraph" w:styleId="Footer">
    <w:name w:val="footer"/>
    <w:basedOn w:val="Normal"/>
    <w:link w:val="FooterChar"/>
    <w:uiPriority w:val="99"/>
    <w:unhideWhenUsed/>
    <w:rsid w:val="00B27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AB6"/>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Hansen</cp:lastModifiedBy>
  <cp:revision>2</cp:revision>
  <dcterms:created xsi:type="dcterms:W3CDTF">2016-05-04T13:33:00Z</dcterms:created>
  <dcterms:modified xsi:type="dcterms:W3CDTF">2016-05-05T08:53:00Z</dcterms:modified>
</cp:coreProperties>
</file>